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DC" w:rsidRPr="003172D8" w:rsidRDefault="00FE7B43" w:rsidP="003172D8">
      <w:pPr>
        <w:jc w:val="center"/>
        <w:rPr>
          <w:b/>
          <w:sz w:val="32"/>
          <w:szCs w:val="32"/>
        </w:rPr>
      </w:pPr>
      <w:bookmarkStart w:id="0" w:name="_GoBack"/>
      <w:bookmarkEnd w:id="0"/>
      <w:r>
        <w:rPr>
          <w:b/>
          <w:sz w:val="32"/>
          <w:szCs w:val="32"/>
        </w:rPr>
        <w:t>IL CINEMA IN SALA NEL 2017</w:t>
      </w:r>
      <w:r w:rsidR="00632A83" w:rsidRPr="003C178A">
        <w:rPr>
          <w:b/>
          <w:sz w:val="32"/>
          <w:szCs w:val="32"/>
        </w:rPr>
        <w:t>: I DATI DEL BOX OFFICE</w:t>
      </w:r>
    </w:p>
    <w:p w:rsidR="00FE7B43" w:rsidRDefault="00FE7B43" w:rsidP="00622BE1">
      <w:pPr>
        <w:jc w:val="both"/>
        <w:rPr>
          <w:i/>
          <w:sz w:val="18"/>
          <w:szCs w:val="18"/>
        </w:rPr>
      </w:pPr>
    </w:p>
    <w:p w:rsidR="00622BE1" w:rsidRPr="00622BE1" w:rsidRDefault="00622BE1" w:rsidP="00622BE1">
      <w:pPr>
        <w:jc w:val="both"/>
        <w:rPr>
          <w:bCs/>
          <w:u w:val="single"/>
        </w:rPr>
      </w:pPr>
      <w:r w:rsidRPr="00622BE1">
        <w:rPr>
          <w:bCs/>
          <w:u w:val="single"/>
        </w:rPr>
        <w:t>Presenze e incassi</w:t>
      </w:r>
    </w:p>
    <w:p w:rsidR="000E2D9A" w:rsidRPr="000E2D9A" w:rsidRDefault="000042FC" w:rsidP="0082688B">
      <w:pPr>
        <w:pStyle w:val="Paragrafoelenco"/>
        <w:numPr>
          <w:ilvl w:val="0"/>
          <w:numId w:val="2"/>
        </w:numPr>
        <w:jc w:val="both"/>
        <w:rPr>
          <w:bCs/>
        </w:rPr>
      </w:pPr>
      <w:r>
        <w:t>Nell’anno 2017</w:t>
      </w:r>
      <w:r w:rsidR="000E2D9A" w:rsidRPr="000E2D9A">
        <w:t xml:space="preserve"> al </w:t>
      </w:r>
      <w:r w:rsidR="000E2D9A" w:rsidRPr="00622BE1">
        <w:rPr>
          <w:b/>
        </w:rPr>
        <w:t>box office</w:t>
      </w:r>
      <w:r w:rsidR="000E2D9A" w:rsidRPr="000E2D9A">
        <w:t xml:space="preserve"> italiano si sono incassati </w:t>
      </w:r>
      <w:r>
        <w:rPr>
          <w:b/>
          <w:bCs/>
        </w:rPr>
        <w:t>€ 584.843</w:t>
      </w:r>
      <w:r w:rsidR="000E2D9A" w:rsidRPr="00622BE1">
        <w:rPr>
          <w:b/>
          <w:bCs/>
        </w:rPr>
        <w:t>.</w:t>
      </w:r>
      <w:r>
        <w:rPr>
          <w:b/>
          <w:bCs/>
        </w:rPr>
        <w:t>610</w:t>
      </w:r>
      <w:r w:rsidR="000E2D9A" w:rsidRPr="000E2D9A">
        <w:rPr>
          <w:bCs/>
        </w:rPr>
        <w:t xml:space="preserve"> per un numero di </w:t>
      </w:r>
      <w:r w:rsidR="000E2D9A" w:rsidRPr="00622BE1">
        <w:rPr>
          <w:b/>
          <w:bCs/>
        </w:rPr>
        <w:t>presenze in sala</w:t>
      </w:r>
      <w:r w:rsidR="000E2D9A" w:rsidRPr="000E2D9A">
        <w:rPr>
          <w:bCs/>
        </w:rPr>
        <w:t xml:space="preserve"> pari a </w:t>
      </w:r>
      <w:r>
        <w:rPr>
          <w:b/>
          <w:bCs/>
        </w:rPr>
        <w:t>92.336</w:t>
      </w:r>
      <w:r w:rsidR="000E2D9A" w:rsidRPr="00622BE1">
        <w:rPr>
          <w:b/>
          <w:bCs/>
        </w:rPr>
        <w:t>.</w:t>
      </w:r>
      <w:r>
        <w:rPr>
          <w:b/>
          <w:bCs/>
        </w:rPr>
        <w:t>963</w:t>
      </w:r>
      <w:r w:rsidR="000E2D9A">
        <w:rPr>
          <w:bCs/>
        </w:rPr>
        <w:t>;</w:t>
      </w:r>
    </w:p>
    <w:p w:rsidR="000E2D9A" w:rsidRDefault="000E2D9A" w:rsidP="0082688B">
      <w:pPr>
        <w:pStyle w:val="Paragrafoelenco"/>
        <w:numPr>
          <w:ilvl w:val="0"/>
          <w:numId w:val="2"/>
        </w:numPr>
        <w:jc w:val="both"/>
        <w:rPr>
          <w:bCs/>
        </w:rPr>
      </w:pPr>
      <w:r w:rsidRPr="00622BE1">
        <w:rPr>
          <w:b/>
          <w:bCs/>
        </w:rPr>
        <w:t>Rispetto al 201</w:t>
      </w:r>
      <w:r w:rsidR="000042FC">
        <w:rPr>
          <w:b/>
          <w:bCs/>
        </w:rPr>
        <w:t>6si è registrata una diminuzione</w:t>
      </w:r>
      <w:r w:rsidR="003E0785">
        <w:rPr>
          <w:b/>
          <w:bCs/>
        </w:rPr>
        <w:t xml:space="preserve">degli incassi </w:t>
      </w:r>
      <w:r w:rsidR="000042FC">
        <w:rPr>
          <w:b/>
          <w:bCs/>
        </w:rPr>
        <w:t>al box office dell’11.63</w:t>
      </w:r>
      <w:r w:rsidRPr="00F266FF">
        <w:rPr>
          <w:b/>
          <w:bCs/>
        </w:rPr>
        <w:t>%</w:t>
      </w:r>
      <w:r w:rsidRPr="000E2D9A">
        <w:rPr>
          <w:bCs/>
        </w:rPr>
        <w:t xml:space="preserve"> e un </w:t>
      </w:r>
      <w:r w:rsidR="000042FC">
        <w:rPr>
          <w:b/>
          <w:bCs/>
        </w:rPr>
        <w:t>decrement</w:t>
      </w:r>
      <w:r w:rsidR="002C4458">
        <w:rPr>
          <w:b/>
          <w:bCs/>
        </w:rPr>
        <w:t>o delle presenze del</w:t>
      </w:r>
      <w:r w:rsidR="000042FC">
        <w:rPr>
          <w:b/>
          <w:bCs/>
        </w:rPr>
        <w:t xml:space="preserve"> 12.38</w:t>
      </w:r>
      <w:r w:rsidRPr="00F266FF">
        <w:rPr>
          <w:b/>
          <w:bCs/>
        </w:rPr>
        <w:t>%;</w:t>
      </w:r>
    </w:p>
    <w:p w:rsidR="000E2D9A" w:rsidRDefault="000042FC" w:rsidP="0082688B">
      <w:pPr>
        <w:pStyle w:val="Paragrafoelenco"/>
        <w:numPr>
          <w:ilvl w:val="0"/>
          <w:numId w:val="2"/>
        </w:numPr>
        <w:jc w:val="both"/>
        <w:rPr>
          <w:bCs/>
        </w:rPr>
      </w:pPr>
      <w:r>
        <w:rPr>
          <w:bCs/>
          <w:u w:val="single"/>
        </w:rPr>
        <w:t>Negli ultimi cinque anni</w:t>
      </w:r>
      <w:r w:rsidR="000E2D9A">
        <w:rPr>
          <w:bCs/>
        </w:rPr>
        <w:t xml:space="preserve">, </w:t>
      </w:r>
      <w:r w:rsidRPr="003056F7">
        <w:rPr>
          <w:bCs/>
        </w:rPr>
        <w:t>si tratta del</w:t>
      </w:r>
      <w:r>
        <w:rPr>
          <w:b/>
          <w:bCs/>
        </w:rPr>
        <w:t xml:space="preserve"> secondo peggior</w:t>
      </w:r>
      <w:r w:rsidR="000E2D9A" w:rsidRPr="00D11DE8">
        <w:rPr>
          <w:b/>
          <w:bCs/>
        </w:rPr>
        <w:t xml:space="preserve"> risultato sia in termini di presenze che di incassi dopo </w:t>
      </w:r>
      <w:r w:rsidR="00D11DE8" w:rsidRPr="00D11DE8">
        <w:rPr>
          <w:b/>
          <w:bCs/>
        </w:rPr>
        <w:t xml:space="preserve">la </w:t>
      </w:r>
      <w:r w:rsidR="000E2D9A" w:rsidRPr="00D11DE8">
        <w:rPr>
          <w:b/>
          <w:bCs/>
        </w:rPr>
        <w:t>stagione</w:t>
      </w:r>
      <w:r w:rsidR="00D11DE8" w:rsidRPr="00D11DE8">
        <w:rPr>
          <w:b/>
          <w:bCs/>
        </w:rPr>
        <w:t xml:space="preserve"> del</w:t>
      </w:r>
      <w:r w:rsidR="000E2D9A" w:rsidRPr="00D11DE8">
        <w:rPr>
          <w:b/>
          <w:bCs/>
        </w:rPr>
        <w:t xml:space="preserve"> 201</w:t>
      </w:r>
      <w:r>
        <w:rPr>
          <w:b/>
          <w:bCs/>
        </w:rPr>
        <w:t>4</w:t>
      </w:r>
      <w:r w:rsidR="000E2D9A">
        <w:rPr>
          <w:bCs/>
        </w:rPr>
        <w:t xml:space="preserve"> (box office: </w:t>
      </w:r>
      <w:r>
        <w:rPr>
          <w:bCs/>
        </w:rPr>
        <w:t>€ 575.247.515</w:t>
      </w:r>
      <w:r w:rsidR="000E2D9A">
        <w:rPr>
          <w:bCs/>
        </w:rPr>
        <w:t xml:space="preserve">; presenze: </w:t>
      </w:r>
      <w:r w:rsidR="000E2D9A" w:rsidRPr="000E2D9A">
        <w:rPr>
          <w:bCs/>
        </w:rPr>
        <w:t>9</w:t>
      </w:r>
      <w:r>
        <w:rPr>
          <w:bCs/>
        </w:rPr>
        <w:t>1.526.747</w:t>
      </w:r>
      <w:r w:rsidR="000E2D9A">
        <w:rPr>
          <w:bCs/>
        </w:rPr>
        <w:t>)</w:t>
      </w:r>
      <w:r w:rsidR="003056F7">
        <w:rPr>
          <w:bCs/>
        </w:rPr>
        <w:t>;</w:t>
      </w:r>
    </w:p>
    <w:p w:rsidR="003056F7" w:rsidRPr="000E2D9A" w:rsidRDefault="003056F7" w:rsidP="0082688B">
      <w:pPr>
        <w:pStyle w:val="Paragrafoelenco"/>
        <w:numPr>
          <w:ilvl w:val="0"/>
          <w:numId w:val="2"/>
        </w:numPr>
        <w:jc w:val="both"/>
        <w:rPr>
          <w:bCs/>
        </w:rPr>
      </w:pPr>
      <w:r>
        <w:rPr>
          <w:bCs/>
        </w:rPr>
        <w:t xml:space="preserve">Particolarmente importante la </w:t>
      </w:r>
      <w:r w:rsidRPr="003056F7">
        <w:rPr>
          <w:bCs/>
          <w:u w:val="single"/>
        </w:rPr>
        <w:t>differe</w:t>
      </w:r>
      <w:r w:rsidR="00542985">
        <w:rPr>
          <w:bCs/>
          <w:u w:val="single"/>
        </w:rPr>
        <w:t>nza negativa rispetto all’anno</w:t>
      </w:r>
      <w:r w:rsidRPr="003056F7">
        <w:rPr>
          <w:bCs/>
          <w:u w:val="single"/>
        </w:rPr>
        <w:t xml:space="preserve"> precedente, il 2016,</w:t>
      </w:r>
      <w:r>
        <w:rPr>
          <w:bCs/>
        </w:rPr>
        <w:t xml:space="preserve"> con un </w:t>
      </w:r>
      <w:r w:rsidRPr="003056F7">
        <w:rPr>
          <w:b/>
          <w:bCs/>
        </w:rPr>
        <w:t>decremento dell’11.63% degli incassie il 12.38% delle presenze</w:t>
      </w:r>
      <w:r>
        <w:rPr>
          <w:bCs/>
        </w:rPr>
        <w:t>;</w:t>
      </w:r>
    </w:p>
    <w:p w:rsidR="006346AF" w:rsidRPr="006346AF" w:rsidRDefault="006346AF" w:rsidP="006346AF">
      <w:pPr>
        <w:pStyle w:val="Paragrafoelenco"/>
        <w:ind w:left="360"/>
        <w:jc w:val="both"/>
        <w:rPr>
          <w:bCs/>
        </w:rPr>
      </w:pPr>
    </w:p>
    <w:p w:rsidR="00F865E5" w:rsidRDefault="000042FC" w:rsidP="000042FC">
      <w:pPr>
        <w:spacing w:after="0"/>
        <w:jc w:val="center"/>
        <w:rPr>
          <w:bCs/>
        </w:rPr>
      </w:pPr>
      <w:r w:rsidRPr="000042FC">
        <w:rPr>
          <w:bCs/>
          <w:noProof/>
          <w:lang w:eastAsia="it-IT"/>
        </w:rPr>
        <w:drawing>
          <wp:inline distT="0" distB="0" distL="0" distR="0">
            <wp:extent cx="6120130" cy="2214957"/>
            <wp:effectExtent l="19050" t="0" r="1397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628D3" w:rsidRDefault="008628D3" w:rsidP="008628D3">
      <w:pPr>
        <w:spacing w:after="0"/>
        <w:rPr>
          <w:bCs/>
          <w:sz w:val="16"/>
          <w:szCs w:val="16"/>
        </w:rPr>
      </w:pPr>
    </w:p>
    <w:p w:rsidR="000042FC" w:rsidRDefault="000042FC" w:rsidP="008628D3">
      <w:pPr>
        <w:spacing w:after="0"/>
        <w:rPr>
          <w:bCs/>
        </w:rPr>
      </w:pPr>
    </w:p>
    <w:tbl>
      <w:tblPr>
        <w:tblW w:w="5914" w:type="dxa"/>
        <w:jc w:val="center"/>
        <w:tblCellMar>
          <w:left w:w="70" w:type="dxa"/>
          <w:right w:w="70" w:type="dxa"/>
        </w:tblCellMar>
        <w:tblLook w:val="04A0"/>
      </w:tblPr>
      <w:tblGrid>
        <w:gridCol w:w="902"/>
        <w:gridCol w:w="1278"/>
        <w:gridCol w:w="1278"/>
        <w:gridCol w:w="1323"/>
        <w:gridCol w:w="1133"/>
      </w:tblGrid>
      <w:tr w:rsidR="000042FC" w:rsidRPr="000042FC" w:rsidTr="000042FC">
        <w:trPr>
          <w:trHeight w:val="30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000000"/>
                <w:sz w:val="20"/>
                <w:szCs w:val="20"/>
                <w:lang w:eastAsia="it-IT"/>
              </w:rPr>
            </w:pPr>
            <w:r w:rsidRPr="000042FC">
              <w:rPr>
                <w:rFonts w:ascii="Calibri" w:eastAsia="Times New Roman" w:hAnsi="Calibri" w:cs="Calibri"/>
                <w:b/>
                <w:color w:val="000000"/>
                <w:sz w:val="20"/>
                <w:szCs w:val="20"/>
                <w:lang w:eastAsia="it-IT"/>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000000"/>
                <w:sz w:val="20"/>
                <w:szCs w:val="20"/>
                <w:lang w:eastAsia="it-IT"/>
              </w:rPr>
            </w:pPr>
            <w:r w:rsidRPr="000042FC">
              <w:rPr>
                <w:rFonts w:ascii="Calibri" w:eastAsia="Times New Roman" w:hAnsi="Calibri" w:cs="Calibri"/>
                <w:b/>
                <w:color w:val="000000"/>
                <w:sz w:val="20"/>
                <w:szCs w:val="20"/>
                <w:lang w:eastAsia="it-IT"/>
              </w:rPr>
              <w:t>Diff. %17/13</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000000"/>
                <w:sz w:val="20"/>
                <w:szCs w:val="20"/>
                <w:lang w:eastAsia="it-IT"/>
              </w:rPr>
            </w:pPr>
            <w:r w:rsidRPr="000042FC">
              <w:rPr>
                <w:rFonts w:ascii="Calibri" w:eastAsia="Times New Roman" w:hAnsi="Calibri" w:cs="Calibri"/>
                <w:b/>
                <w:color w:val="000000"/>
                <w:sz w:val="20"/>
                <w:szCs w:val="20"/>
                <w:lang w:eastAsia="it-IT"/>
              </w:rPr>
              <w:t>Diff. %17/14</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000000"/>
                <w:sz w:val="20"/>
                <w:szCs w:val="20"/>
                <w:lang w:eastAsia="it-IT"/>
              </w:rPr>
            </w:pPr>
            <w:r w:rsidRPr="000042FC">
              <w:rPr>
                <w:rFonts w:ascii="Calibri" w:eastAsia="Times New Roman" w:hAnsi="Calibri" w:cs="Calibri"/>
                <w:b/>
                <w:color w:val="000000"/>
                <w:sz w:val="20"/>
                <w:szCs w:val="20"/>
                <w:lang w:eastAsia="it-IT"/>
              </w:rPr>
              <w:t>Diff. % 17/15</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000000"/>
                <w:sz w:val="20"/>
                <w:szCs w:val="20"/>
                <w:lang w:eastAsia="it-IT"/>
              </w:rPr>
            </w:pPr>
            <w:r w:rsidRPr="000042FC">
              <w:rPr>
                <w:rFonts w:ascii="Calibri" w:eastAsia="Times New Roman" w:hAnsi="Calibri" w:cs="Calibri"/>
                <w:b/>
                <w:color w:val="000000"/>
                <w:sz w:val="20"/>
                <w:szCs w:val="20"/>
                <w:lang w:eastAsia="it-IT"/>
              </w:rPr>
              <w:t>Diff.%17/16</w:t>
            </w:r>
          </w:p>
        </w:tc>
      </w:tr>
      <w:tr w:rsidR="000042FC" w:rsidRPr="000042FC" w:rsidTr="000042FC">
        <w:trPr>
          <w:trHeight w:val="300"/>
          <w:jc w:val="center"/>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000000"/>
                <w:sz w:val="20"/>
                <w:szCs w:val="20"/>
                <w:lang w:eastAsia="it-IT"/>
              </w:rPr>
            </w:pPr>
            <w:r w:rsidRPr="000042FC">
              <w:rPr>
                <w:rFonts w:ascii="Calibri" w:eastAsia="Times New Roman" w:hAnsi="Calibri" w:cs="Calibri"/>
                <w:b/>
                <w:color w:val="000000"/>
                <w:sz w:val="20"/>
                <w:szCs w:val="20"/>
                <w:lang w:eastAsia="it-IT"/>
              </w:rPr>
              <w:t>Incassi</w:t>
            </w:r>
          </w:p>
        </w:tc>
        <w:tc>
          <w:tcPr>
            <w:tcW w:w="1278"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FF0000"/>
                <w:sz w:val="20"/>
                <w:szCs w:val="20"/>
                <w:lang w:eastAsia="it-IT"/>
              </w:rPr>
            </w:pPr>
            <w:r w:rsidRPr="000042FC">
              <w:rPr>
                <w:rFonts w:ascii="Calibri" w:eastAsia="Times New Roman" w:hAnsi="Calibri" w:cs="Calibri"/>
                <w:b/>
                <w:color w:val="FF0000"/>
                <w:sz w:val="20"/>
                <w:szCs w:val="20"/>
                <w:lang w:eastAsia="it-IT"/>
              </w:rPr>
              <w:t>-5,47%</w:t>
            </w:r>
          </w:p>
        </w:tc>
        <w:tc>
          <w:tcPr>
            <w:tcW w:w="1278"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1F497D"/>
                <w:sz w:val="20"/>
                <w:szCs w:val="20"/>
                <w:lang w:eastAsia="it-IT"/>
              </w:rPr>
            </w:pPr>
            <w:r>
              <w:rPr>
                <w:rFonts w:ascii="Calibri" w:eastAsia="Times New Roman" w:hAnsi="Calibri" w:cs="Calibri"/>
                <w:b/>
                <w:color w:val="1F497D"/>
                <w:sz w:val="20"/>
                <w:szCs w:val="20"/>
                <w:lang w:eastAsia="it-IT"/>
              </w:rPr>
              <w:t>+</w:t>
            </w:r>
            <w:r w:rsidRPr="000042FC">
              <w:rPr>
                <w:rFonts w:ascii="Calibri" w:eastAsia="Times New Roman" w:hAnsi="Calibri" w:cs="Calibri"/>
                <w:b/>
                <w:color w:val="1F497D"/>
                <w:sz w:val="20"/>
                <w:szCs w:val="20"/>
                <w:lang w:eastAsia="it-IT"/>
              </w:rPr>
              <w:t>1,67%</w:t>
            </w:r>
          </w:p>
        </w:tc>
        <w:tc>
          <w:tcPr>
            <w:tcW w:w="1323"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FF0000"/>
                <w:sz w:val="20"/>
                <w:szCs w:val="20"/>
                <w:lang w:eastAsia="it-IT"/>
              </w:rPr>
            </w:pPr>
            <w:r w:rsidRPr="000042FC">
              <w:rPr>
                <w:rFonts w:ascii="Calibri" w:eastAsia="Times New Roman" w:hAnsi="Calibri" w:cs="Calibri"/>
                <w:b/>
                <w:color w:val="FF0000"/>
                <w:sz w:val="20"/>
                <w:szCs w:val="20"/>
                <w:lang w:eastAsia="it-IT"/>
              </w:rPr>
              <w:t>-8,23%</w:t>
            </w:r>
          </w:p>
        </w:tc>
        <w:tc>
          <w:tcPr>
            <w:tcW w:w="1133"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FF0000"/>
                <w:sz w:val="20"/>
                <w:szCs w:val="20"/>
                <w:lang w:eastAsia="it-IT"/>
              </w:rPr>
            </w:pPr>
            <w:r w:rsidRPr="000042FC">
              <w:rPr>
                <w:rFonts w:ascii="Calibri" w:eastAsia="Times New Roman" w:hAnsi="Calibri" w:cs="Calibri"/>
                <w:b/>
                <w:color w:val="FF0000"/>
                <w:sz w:val="20"/>
                <w:szCs w:val="20"/>
                <w:lang w:eastAsia="it-IT"/>
              </w:rPr>
              <w:t>-11,63%</w:t>
            </w:r>
          </w:p>
        </w:tc>
      </w:tr>
      <w:tr w:rsidR="000042FC" w:rsidRPr="000042FC" w:rsidTr="000042FC">
        <w:trPr>
          <w:trHeight w:val="300"/>
          <w:jc w:val="center"/>
        </w:trPr>
        <w:tc>
          <w:tcPr>
            <w:tcW w:w="902" w:type="dxa"/>
            <w:tcBorders>
              <w:top w:val="nil"/>
              <w:left w:val="single" w:sz="4" w:space="0" w:color="auto"/>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000000"/>
                <w:sz w:val="20"/>
                <w:szCs w:val="20"/>
                <w:lang w:eastAsia="it-IT"/>
              </w:rPr>
            </w:pPr>
            <w:r w:rsidRPr="000042FC">
              <w:rPr>
                <w:rFonts w:ascii="Calibri" w:eastAsia="Times New Roman" w:hAnsi="Calibri" w:cs="Calibri"/>
                <w:b/>
                <w:color w:val="000000"/>
                <w:sz w:val="20"/>
                <w:szCs w:val="20"/>
                <w:lang w:eastAsia="it-IT"/>
              </w:rPr>
              <w:t>Presenze</w:t>
            </w:r>
          </w:p>
        </w:tc>
        <w:tc>
          <w:tcPr>
            <w:tcW w:w="1278"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FF0000"/>
                <w:sz w:val="20"/>
                <w:szCs w:val="20"/>
                <w:lang w:eastAsia="it-IT"/>
              </w:rPr>
            </w:pPr>
            <w:r w:rsidRPr="000042FC">
              <w:rPr>
                <w:rFonts w:ascii="Calibri" w:eastAsia="Times New Roman" w:hAnsi="Calibri" w:cs="Calibri"/>
                <w:b/>
                <w:color w:val="FF0000"/>
                <w:sz w:val="20"/>
                <w:szCs w:val="20"/>
                <w:lang w:eastAsia="it-IT"/>
              </w:rPr>
              <w:t>-5,23%</w:t>
            </w:r>
          </w:p>
        </w:tc>
        <w:tc>
          <w:tcPr>
            <w:tcW w:w="1278"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1F497D"/>
                <w:sz w:val="20"/>
                <w:szCs w:val="20"/>
                <w:lang w:eastAsia="it-IT"/>
              </w:rPr>
            </w:pPr>
            <w:r>
              <w:rPr>
                <w:rFonts w:ascii="Calibri" w:eastAsia="Times New Roman" w:hAnsi="Calibri" w:cs="Calibri"/>
                <w:b/>
                <w:color w:val="1F497D"/>
                <w:sz w:val="20"/>
                <w:szCs w:val="20"/>
                <w:lang w:eastAsia="it-IT"/>
              </w:rPr>
              <w:t>+</w:t>
            </w:r>
            <w:r w:rsidRPr="000042FC">
              <w:rPr>
                <w:rFonts w:ascii="Calibri" w:eastAsia="Times New Roman" w:hAnsi="Calibri" w:cs="Calibri"/>
                <w:b/>
                <w:color w:val="1F497D"/>
                <w:sz w:val="20"/>
                <w:szCs w:val="20"/>
                <w:lang w:eastAsia="it-IT"/>
              </w:rPr>
              <w:t>0,89%</w:t>
            </w:r>
          </w:p>
        </w:tc>
        <w:tc>
          <w:tcPr>
            <w:tcW w:w="1323"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FF0000"/>
                <w:sz w:val="20"/>
                <w:szCs w:val="20"/>
                <w:lang w:eastAsia="it-IT"/>
              </w:rPr>
            </w:pPr>
            <w:r w:rsidRPr="000042FC">
              <w:rPr>
                <w:rFonts w:ascii="Calibri" w:eastAsia="Times New Roman" w:hAnsi="Calibri" w:cs="Calibri"/>
                <w:b/>
                <w:color w:val="FF0000"/>
                <w:sz w:val="20"/>
                <w:szCs w:val="20"/>
                <w:lang w:eastAsia="it-IT"/>
              </w:rPr>
              <w:t>-7,07%</w:t>
            </w:r>
          </w:p>
        </w:tc>
        <w:tc>
          <w:tcPr>
            <w:tcW w:w="1133" w:type="dxa"/>
            <w:tcBorders>
              <w:top w:val="nil"/>
              <w:left w:val="nil"/>
              <w:bottom w:val="single" w:sz="4" w:space="0" w:color="auto"/>
              <w:right w:val="single" w:sz="4" w:space="0" w:color="auto"/>
            </w:tcBorders>
            <w:shd w:val="clear" w:color="auto" w:fill="auto"/>
            <w:noWrap/>
            <w:vAlign w:val="bottom"/>
            <w:hideMark/>
          </w:tcPr>
          <w:p w:rsidR="000042FC" w:rsidRPr="000042FC" w:rsidRDefault="000042FC" w:rsidP="000042FC">
            <w:pPr>
              <w:spacing w:after="0" w:line="240" w:lineRule="auto"/>
              <w:jc w:val="center"/>
              <w:rPr>
                <w:rFonts w:ascii="Calibri" w:eastAsia="Times New Roman" w:hAnsi="Calibri" w:cs="Calibri"/>
                <w:b/>
                <w:color w:val="FF0000"/>
                <w:sz w:val="20"/>
                <w:szCs w:val="20"/>
                <w:lang w:eastAsia="it-IT"/>
              </w:rPr>
            </w:pPr>
            <w:r w:rsidRPr="000042FC">
              <w:rPr>
                <w:rFonts w:ascii="Calibri" w:eastAsia="Times New Roman" w:hAnsi="Calibri" w:cs="Calibri"/>
                <w:b/>
                <w:color w:val="FF0000"/>
                <w:sz w:val="20"/>
                <w:szCs w:val="20"/>
                <w:lang w:eastAsia="it-IT"/>
              </w:rPr>
              <w:t>-12,38%</w:t>
            </w:r>
          </w:p>
        </w:tc>
      </w:tr>
    </w:tbl>
    <w:p w:rsidR="000042FC" w:rsidRDefault="000042FC" w:rsidP="008628D3">
      <w:pPr>
        <w:spacing w:after="0"/>
        <w:rPr>
          <w:bCs/>
        </w:rPr>
      </w:pPr>
    </w:p>
    <w:p w:rsidR="000042FC" w:rsidRDefault="000042FC" w:rsidP="008628D3">
      <w:pPr>
        <w:spacing w:after="0"/>
        <w:rPr>
          <w:bCs/>
        </w:rPr>
      </w:pPr>
    </w:p>
    <w:p w:rsidR="000042FC" w:rsidRDefault="000042FC" w:rsidP="008628D3">
      <w:pPr>
        <w:spacing w:after="0"/>
        <w:rPr>
          <w:bCs/>
        </w:rPr>
      </w:pPr>
    </w:p>
    <w:p w:rsidR="008628D3" w:rsidRDefault="000042FC" w:rsidP="008628D3">
      <w:pPr>
        <w:spacing w:after="0"/>
        <w:rPr>
          <w:bCs/>
          <w:u w:val="single"/>
        </w:rPr>
      </w:pPr>
      <w:r w:rsidRPr="003056F7">
        <w:rPr>
          <w:bCs/>
          <w:u w:val="single"/>
        </w:rPr>
        <w:t xml:space="preserve">Il numero di </w:t>
      </w:r>
      <w:r w:rsidR="003056F7">
        <w:rPr>
          <w:bCs/>
          <w:u w:val="single"/>
        </w:rPr>
        <w:t>titoli</w:t>
      </w:r>
      <w:r w:rsidR="003056F7" w:rsidRPr="003056F7">
        <w:rPr>
          <w:bCs/>
          <w:u w:val="single"/>
        </w:rPr>
        <w:t xml:space="preserve"> distribuiti</w:t>
      </w:r>
      <w:r w:rsidRPr="003056F7">
        <w:rPr>
          <w:bCs/>
          <w:u w:val="single"/>
        </w:rPr>
        <w:t xml:space="preserve"> e la tipologia</w:t>
      </w:r>
    </w:p>
    <w:p w:rsidR="003056F7" w:rsidRDefault="003056F7" w:rsidP="008628D3">
      <w:pPr>
        <w:spacing w:after="0"/>
        <w:rPr>
          <w:bCs/>
          <w:u w:val="single"/>
        </w:rPr>
      </w:pPr>
    </w:p>
    <w:p w:rsidR="003056F7" w:rsidRPr="003056F7" w:rsidRDefault="003056F7" w:rsidP="009F49AE">
      <w:pPr>
        <w:pStyle w:val="Paragrafoelenco"/>
        <w:numPr>
          <w:ilvl w:val="0"/>
          <w:numId w:val="9"/>
        </w:numPr>
        <w:spacing w:after="0"/>
        <w:jc w:val="both"/>
        <w:rPr>
          <w:bCs/>
          <w:u w:val="single"/>
        </w:rPr>
      </w:pPr>
      <w:r w:rsidRPr="003056F7">
        <w:rPr>
          <w:bCs/>
          <w:u w:val="single"/>
        </w:rPr>
        <w:t>Nel 2017 sono stati distribuiti</w:t>
      </w:r>
      <w:r>
        <w:rPr>
          <w:bCs/>
        </w:rPr>
        <w:t xml:space="preserve"> in sala </w:t>
      </w:r>
      <w:r w:rsidRPr="003056F7">
        <w:rPr>
          <w:b/>
          <w:bCs/>
        </w:rPr>
        <w:t>536 film</w:t>
      </w:r>
      <w:r>
        <w:rPr>
          <w:bCs/>
        </w:rPr>
        <w:t xml:space="preserve"> (-18 rispetto al 2016) </w:t>
      </w:r>
      <w:r w:rsidRPr="003056F7">
        <w:rPr>
          <w:bCs/>
          <w:u w:val="single"/>
        </w:rPr>
        <w:t xml:space="preserve">di cui </w:t>
      </w:r>
      <w:r w:rsidRPr="00542985">
        <w:rPr>
          <w:b/>
          <w:bCs/>
          <w:u w:val="single"/>
        </w:rPr>
        <w:t>216 di produzione o co-produzione italiana</w:t>
      </w:r>
      <w:r>
        <w:rPr>
          <w:bCs/>
        </w:rPr>
        <w:t xml:space="preserve"> (+8 rispetto al 2016) per una quota del 40% sul totale (era del 38% nel 2016);</w:t>
      </w:r>
    </w:p>
    <w:p w:rsidR="003056F7" w:rsidRPr="003056F7" w:rsidRDefault="003056F7" w:rsidP="009F49AE">
      <w:pPr>
        <w:pStyle w:val="Paragrafoelenco"/>
        <w:numPr>
          <w:ilvl w:val="0"/>
          <w:numId w:val="9"/>
        </w:numPr>
        <w:spacing w:after="0"/>
        <w:jc w:val="both"/>
        <w:rPr>
          <w:bCs/>
          <w:u w:val="single"/>
        </w:rPr>
      </w:pPr>
      <w:r w:rsidRPr="009F49AE">
        <w:rPr>
          <w:bCs/>
          <w:u w:val="single"/>
        </w:rPr>
        <w:t>Quasi invariato il numero di film usciti in 3D</w:t>
      </w:r>
      <w:r>
        <w:rPr>
          <w:bCs/>
        </w:rPr>
        <w:t xml:space="preserve">: </w:t>
      </w:r>
      <w:r w:rsidRPr="00542985">
        <w:rPr>
          <w:b/>
          <w:bCs/>
          <w:u w:val="single"/>
        </w:rPr>
        <w:t xml:space="preserve">38 </w:t>
      </w:r>
      <w:r w:rsidRPr="00542985">
        <w:rPr>
          <w:bCs/>
          <w:u w:val="single"/>
        </w:rPr>
        <w:t>nel 2017</w:t>
      </w:r>
      <w:r>
        <w:rPr>
          <w:bCs/>
        </w:rPr>
        <w:t xml:space="preserve"> (+2 rispetto al 2016)</w:t>
      </w:r>
      <w:r w:rsidR="009F49AE">
        <w:rPr>
          <w:bCs/>
        </w:rPr>
        <w:t xml:space="preserve"> per un incasso pari a € 11.664.136 (-30,3% rispetto al 2016) e </w:t>
      </w:r>
      <w:r w:rsidR="009F49AE" w:rsidRPr="009F49AE">
        <w:rPr>
          <w:bCs/>
        </w:rPr>
        <w:t>1</w:t>
      </w:r>
      <w:r w:rsidR="009F49AE">
        <w:rPr>
          <w:bCs/>
        </w:rPr>
        <w:t>.</w:t>
      </w:r>
      <w:r w:rsidR="009F49AE" w:rsidRPr="009F49AE">
        <w:rPr>
          <w:bCs/>
        </w:rPr>
        <w:t>316</w:t>
      </w:r>
      <w:r w:rsidR="009F49AE">
        <w:rPr>
          <w:bCs/>
        </w:rPr>
        <w:t>.</w:t>
      </w:r>
      <w:r w:rsidR="009F49AE" w:rsidRPr="009F49AE">
        <w:rPr>
          <w:bCs/>
        </w:rPr>
        <w:t>024</w:t>
      </w:r>
      <w:r w:rsidR="009F49AE">
        <w:rPr>
          <w:bCs/>
        </w:rPr>
        <w:t xml:space="preserve"> presenze (-31,2% rispetto al 2016)</w:t>
      </w:r>
      <w:r>
        <w:rPr>
          <w:bCs/>
        </w:rPr>
        <w:t>;</w:t>
      </w:r>
    </w:p>
    <w:p w:rsidR="000042FC" w:rsidRDefault="003056F7" w:rsidP="009F49AE">
      <w:pPr>
        <w:pStyle w:val="Paragrafoelenco"/>
        <w:numPr>
          <w:ilvl w:val="0"/>
          <w:numId w:val="9"/>
        </w:numPr>
        <w:spacing w:after="0"/>
        <w:jc w:val="both"/>
        <w:rPr>
          <w:bCs/>
        </w:rPr>
      </w:pPr>
      <w:r w:rsidRPr="009F49AE">
        <w:rPr>
          <w:bCs/>
        </w:rPr>
        <w:t xml:space="preserve">Oltre ai film di nuova uscita, sono stati distribuiti in sala anche </w:t>
      </w:r>
      <w:r w:rsidRPr="00542985">
        <w:rPr>
          <w:b/>
          <w:bCs/>
          <w:u w:val="single"/>
        </w:rPr>
        <w:t>96</w:t>
      </w:r>
      <w:r w:rsidRPr="009F49AE">
        <w:rPr>
          <w:bCs/>
          <w:u w:val="single"/>
        </w:rPr>
        <w:t>contenuti complementari</w:t>
      </w:r>
      <w:r w:rsidRPr="009F49AE">
        <w:rPr>
          <w:bCs/>
        </w:rPr>
        <w:t xml:space="preserve"> (eventi, edizioni speciali, ri-edizioni, edizioni restaurate)</w:t>
      </w:r>
      <w:r w:rsidR="009F49AE" w:rsidRPr="009F49AE">
        <w:rPr>
          <w:bCs/>
        </w:rPr>
        <w:t xml:space="preserve"> per un incasso di € </w:t>
      </w:r>
      <w:r w:rsidR="009F49AE">
        <w:rPr>
          <w:bCs/>
        </w:rPr>
        <w:t xml:space="preserve">14.116.470 e </w:t>
      </w:r>
      <w:r w:rsidR="009F49AE" w:rsidRPr="009F49AE">
        <w:rPr>
          <w:bCs/>
        </w:rPr>
        <w:t>1</w:t>
      </w:r>
      <w:r w:rsidR="009F49AE">
        <w:rPr>
          <w:bCs/>
        </w:rPr>
        <w:t>.</w:t>
      </w:r>
      <w:r w:rsidR="009F49AE" w:rsidRPr="009F49AE">
        <w:rPr>
          <w:bCs/>
        </w:rPr>
        <w:t>617</w:t>
      </w:r>
      <w:r w:rsidR="009F49AE">
        <w:rPr>
          <w:bCs/>
        </w:rPr>
        <w:t>.</w:t>
      </w:r>
      <w:r w:rsidR="009F49AE" w:rsidRPr="009F49AE">
        <w:rPr>
          <w:bCs/>
        </w:rPr>
        <w:t>472</w:t>
      </w:r>
      <w:r w:rsidR="009F49AE">
        <w:rPr>
          <w:bCs/>
        </w:rPr>
        <w:t xml:space="preserve"> presenze;</w:t>
      </w:r>
    </w:p>
    <w:p w:rsidR="009F49AE" w:rsidRDefault="009F49AE" w:rsidP="009F49AE">
      <w:pPr>
        <w:pStyle w:val="Paragrafoelenco"/>
        <w:numPr>
          <w:ilvl w:val="0"/>
          <w:numId w:val="9"/>
        </w:numPr>
        <w:spacing w:after="0"/>
        <w:jc w:val="both"/>
        <w:rPr>
          <w:bCs/>
          <w:u w:val="single"/>
        </w:rPr>
      </w:pPr>
      <w:r w:rsidRPr="009F49AE">
        <w:rPr>
          <w:bCs/>
          <w:u w:val="single"/>
        </w:rPr>
        <w:t>Nonostante una diminuzione di 21 titoli</w:t>
      </w:r>
      <w:r w:rsidRPr="00EB47E1">
        <w:rPr>
          <w:bCs/>
        </w:rPr>
        <w:t xml:space="preserve">, questa particolare tipologia di contenuto ha registrato </w:t>
      </w:r>
      <w:r w:rsidRPr="009F49AE">
        <w:rPr>
          <w:bCs/>
          <w:u w:val="single"/>
        </w:rPr>
        <w:t>un aumento del 30,7% degli incassi e del 32,6% delle presenze</w:t>
      </w:r>
      <w:r>
        <w:rPr>
          <w:bCs/>
          <w:u w:val="single"/>
        </w:rPr>
        <w:t>.</w:t>
      </w:r>
    </w:p>
    <w:p w:rsidR="00622BE1" w:rsidRPr="00622BE1" w:rsidRDefault="00622BE1" w:rsidP="00622BE1">
      <w:pPr>
        <w:jc w:val="both"/>
        <w:rPr>
          <w:bCs/>
          <w:u w:val="single"/>
        </w:rPr>
      </w:pPr>
      <w:r w:rsidRPr="00622BE1">
        <w:rPr>
          <w:bCs/>
          <w:u w:val="single"/>
        </w:rPr>
        <w:lastRenderedPageBreak/>
        <w:t>La quota del cinema italiano</w:t>
      </w:r>
      <w:r>
        <w:rPr>
          <w:bCs/>
          <w:u w:val="single"/>
        </w:rPr>
        <w:t xml:space="preserve"> e delle altre cinematografie</w:t>
      </w:r>
    </w:p>
    <w:p w:rsidR="000E2D9A" w:rsidRPr="00632A83" w:rsidRDefault="000E2D9A" w:rsidP="004F74D3">
      <w:pPr>
        <w:pStyle w:val="Paragrafoelenco"/>
        <w:numPr>
          <w:ilvl w:val="0"/>
          <w:numId w:val="2"/>
        </w:numPr>
        <w:jc w:val="both"/>
        <w:rPr>
          <w:b/>
          <w:bCs/>
        </w:rPr>
      </w:pPr>
      <w:r>
        <w:t xml:space="preserve">L’incasso totale del </w:t>
      </w:r>
      <w:r w:rsidRPr="00622BE1">
        <w:rPr>
          <w:b/>
        </w:rPr>
        <w:t>cinema italiano</w:t>
      </w:r>
      <w:r w:rsidR="00EB47E1">
        <w:rPr>
          <w:b/>
        </w:rPr>
        <w:t xml:space="preserve"> (incluse le coproduzioni)</w:t>
      </w:r>
      <w:r>
        <w:t xml:space="preserve"> in sala durante l’anno </w:t>
      </w:r>
      <w:r w:rsidR="00EB47E1">
        <w:t>2017</w:t>
      </w:r>
      <w:r>
        <w:t xml:space="preserve">è stato di </w:t>
      </w:r>
      <w:r w:rsidR="006204CB">
        <w:rPr>
          <w:u w:val="single"/>
        </w:rPr>
        <w:t xml:space="preserve">€ </w:t>
      </w:r>
      <w:r w:rsidR="00CD30BA" w:rsidRPr="00CD30BA">
        <w:rPr>
          <w:u w:val="single"/>
        </w:rPr>
        <w:t>103</w:t>
      </w:r>
      <w:r w:rsidR="00CD30BA">
        <w:rPr>
          <w:u w:val="single"/>
        </w:rPr>
        <w:t>.</w:t>
      </w:r>
      <w:r w:rsidR="00CD30BA" w:rsidRPr="00CD30BA">
        <w:rPr>
          <w:u w:val="single"/>
        </w:rPr>
        <w:t>149</w:t>
      </w:r>
      <w:r w:rsidR="00CD30BA">
        <w:rPr>
          <w:u w:val="single"/>
        </w:rPr>
        <w:t>.</w:t>
      </w:r>
      <w:r w:rsidR="00CD30BA" w:rsidRPr="00CD30BA">
        <w:rPr>
          <w:u w:val="single"/>
        </w:rPr>
        <w:t>97</w:t>
      </w:r>
      <w:r w:rsidR="00CD30BA">
        <w:rPr>
          <w:u w:val="single"/>
        </w:rPr>
        <w:t xml:space="preserve">9 </w:t>
      </w:r>
      <w:r>
        <w:t>(</w:t>
      </w:r>
      <w:r w:rsidR="00CD30BA">
        <w:rPr>
          <w:b/>
        </w:rPr>
        <w:t>17,64</w:t>
      </w:r>
      <w:r w:rsidRPr="00622BE1">
        <w:rPr>
          <w:b/>
        </w:rPr>
        <w:t>% del totale box office</w:t>
      </w:r>
      <w:r>
        <w:t xml:space="preserve">; </w:t>
      </w:r>
      <w:r w:rsidR="00CD30BA">
        <w:rPr>
          <w:b/>
        </w:rPr>
        <w:t>-46,35</w:t>
      </w:r>
      <w:r w:rsidRPr="00622BE1">
        <w:rPr>
          <w:b/>
        </w:rPr>
        <w:t>% rispetto al 201</w:t>
      </w:r>
      <w:r w:rsidR="00CD30BA">
        <w:rPr>
          <w:b/>
        </w:rPr>
        <w:t>6</w:t>
      </w:r>
      <w:r w:rsidR="003E0785">
        <w:t xml:space="preserve">) </w:t>
      </w:r>
      <w:r>
        <w:t xml:space="preserve">per un numero di presenze pari a </w:t>
      </w:r>
      <w:r w:rsidR="00CD30BA" w:rsidRPr="00CD30BA">
        <w:t>16</w:t>
      </w:r>
      <w:r w:rsidR="00CD30BA">
        <w:t>.</w:t>
      </w:r>
      <w:r w:rsidR="00CD30BA" w:rsidRPr="00CD30BA">
        <w:t>880</w:t>
      </w:r>
      <w:r w:rsidR="00CD30BA">
        <w:t>.</w:t>
      </w:r>
      <w:r w:rsidR="00CD30BA" w:rsidRPr="00CD30BA">
        <w:t xml:space="preserve">223 </w:t>
      </w:r>
      <w:r>
        <w:t>(</w:t>
      </w:r>
      <w:r w:rsidR="00CD30BA">
        <w:rPr>
          <w:b/>
        </w:rPr>
        <w:t>18,28</w:t>
      </w:r>
      <w:r w:rsidRPr="00622BE1">
        <w:rPr>
          <w:b/>
        </w:rPr>
        <w:t>% del numero totale dei biglietti venduti</w:t>
      </w:r>
      <w:r>
        <w:t xml:space="preserve">; </w:t>
      </w:r>
      <w:r w:rsidR="00CD30BA">
        <w:rPr>
          <w:b/>
        </w:rPr>
        <w:t>-44</w:t>
      </w:r>
      <w:r w:rsidR="00C95526">
        <w:rPr>
          <w:b/>
        </w:rPr>
        <w:t>,21</w:t>
      </w:r>
      <w:r w:rsidRPr="00622BE1">
        <w:rPr>
          <w:b/>
        </w:rPr>
        <w:t>%</w:t>
      </w:r>
      <w:r w:rsidR="00632A83" w:rsidRPr="00622BE1">
        <w:rPr>
          <w:b/>
        </w:rPr>
        <w:t xml:space="preserve"> rispetto al 201</w:t>
      </w:r>
      <w:r w:rsidR="00C95526">
        <w:rPr>
          <w:b/>
        </w:rPr>
        <w:t>6</w:t>
      </w:r>
      <w:r>
        <w:t>);</w:t>
      </w:r>
    </w:p>
    <w:p w:rsidR="00632A83" w:rsidRPr="00632A83" w:rsidRDefault="00632A83" w:rsidP="004F74D3">
      <w:pPr>
        <w:pStyle w:val="Paragrafoelenco"/>
        <w:numPr>
          <w:ilvl w:val="0"/>
          <w:numId w:val="2"/>
        </w:numPr>
        <w:jc w:val="both"/>
        <w:rPr>
          <w:b/>
          <w:bCs/>
        </w:rPr>
      </w:pPr>
      <w:r>
        <w:t>Più nel dettaglio, il cinem</w:t>
      </w:r>
      <w:r w:rsidR="00C95526">
        <w:t>a italiano ha incassato circa 89</w:t>
      </w:r>
      <w:r>
        <w:t xml:space="preserve"> milio</w:t>
      </w:r>
      <w:r w:rsidR="00C95526">
        <w:t>ni di € in meno rispetto al 2016</w:t>
      </w:r>
      <w:r>
        <w:t xml:space="preserve"> per un numer</w:t>
      </w:r>
      <w:r w:rsidR="00C95526">
        <w:t>o di biglietti venduti inferiore di 13.3</w:t>
      </w:r>
      <w:r>
        <w:t xml:space="preserve"> milioni;</w:t>
      </w:r>
    </w:p>
    <w:p w:rsidR="00632A83" w:rsidRPr="0065450D" w:rsidRDefault="00632A83" w:rsidP="004F74D3">
      <w:pPr>
        <w:pStyle w:val="Paragrafoelenco"/>
        <w:numPr>
          <w:ilvl w:val="0"/>
          <w:numId w:val="2"/>
        </w:numPr>
        <w:jc w:val="both"/>
        <w:rPr>
          <w:bCs/>
        </w:rPr>
      </w:pPr>
      <w:r w:rsidRPr="0065450D">
        <w:rPr>
          <w:bCs/>
        </w:rPr>
        <w:t xml:space="preserve">Il </w:t>
      </w:r>
      <w:r w:rsidRPr="00622BE1">
        <w:rPr>
          <w:b/>
          <w:bCs/>
        </w:rPr>
        <w:t xml:space="preserve">cinema americano </w:t>
      </w:r>
      <w:r w:rsidRPr="0065450D">
        <w:rPr>
          <w:bCs/>
        </w:rPr>
        <w:t>ha inve</w:t>
      </w:r>
      <w:r w:rsidR="003122D0">
        <w:rPr>
          <w:bCs/>
        </w:rPr>
        <w:t xml:space="preserve">ce incassato in totale € </w:t>
      </w:r>
      <w:r w:rsidR="00C95526" w:rsidRPr="00C95526">
        <w:rPr>
          <w:bCs/>
        </w:rPr>
        <w:t xml:space="preserve">387.619.551 </w:t>
      </w:r>
      <w:r w:rsidRPr="0065450D">
        <w:rPr>
          <w:bCs/>
        </w:rPr>
        <w:t>(</w:t>
      </w:r>
      <w:r w:rsidR="00C95526">
        <w:rPr>
          <w:b/>
          <w:bCs/>
        </w:rPr>
        <w:t>66,28</w:t>
      </w:r>
      <w:r w:rsidRPr="00622BE1">
        <w:rPr>
          <w:b/>
          <w:bCs/>
        </w:rPr>
        <w:t>% del box office</w:t>
      </w:r>
      <w:r w:rsidRPr="0065450D">
        <w:rPr>
          <w:bCs/>
        </w:rPr>
        <w:t xml:space="preserve">; </w:t>
      </w:r>
      <w:r w:rsidR="00C95526">
        <w:rPr>
          <w:b/>
          <w:bCs/>
        </w:rPr>
        <w:t>+5,24</w:t>
      </w:r>
      <w:r w:rsidRPr="00622BE1">
        <w:rPr>
          <w:b/>
          <w:bCs/>
        </w:rPr>
        <w:t>% rispetto al 201</w:t>
      </w:r>
      <w:r w:rsidR="00C95526">
        <w:rPr>
          <w:b/>
          <w:bCs/>
        </w:rPr>
        <w:t>6</w:t>
      </w:r>
      <w:r w:rsidRPr="0065450D">
        <w:rPr>
          <w:bCs/>
        </w:rPr>
        <w:t xml:space="preserve">) per un </w:t>
      </w:r>
      <w:r w:rsidR="003122D0">
        <w:rPr>
          <w:bCs/>
        </w:rPr>
        <w:t xml:space="preserve">numero di presenze pari a </w:t>
      </w:r>
      <w:r w:rsidR="00C95526" w:rsidRPr="00C95526">
        <w:rPr>
          <w:bCs/>
        </w:rPr>
        <w:t>60</w:t>
      </w:r>
      <w:r w:rsidR="00C95526">
        <w:rPr>
          <w:bCs/>
        </w:rPr>
        <w:t>.</w:t>
      </w:r>
      <w:r w:rsidR="00C95526" w:rsidRPr="00C95526">
        <w:rPr>
          <w:bCs/>
        </w:rPr>
        <w:t>125</w:t>
      </w:r>
      <w:r w:rsidR="00C95526">
        <w:rPr>
          <w:bCs/>
        </w:rPr>
        <w:t>.</w:t>
      </w:r>
      <w:r w:rsidR="00C95526" w:rsidRPr="00C95526">
        <w:rPr>
          <w:bCs/>
        </w:rPr>
        <w:t xml:space="preserve">924 </w:t>
      </w:r>
      <w:r w:rsidRPr="0065450D">
        <w:rPr>
          <w:bCs/>
        </w:rPr>
        <w:t>(</w:t>
      </w:r>
      <w:r w:rsidR="00C95526">
        <w:rPr>
          <w:b/>
          <w:bCs/>
        </w:rPr>
        <w:t>65,12</w:t>
      </w:r>
      <w:r w:rsidRPr="00622BE1">
        <w:rPr>
          <w:b/>
          <w:bCs/>
        </w:rPr>
        <w:t>% del numero totale di biglietti venduti</w:t>
      </w:r>
      <w:r w:rsidR="0065450D" w:rsidRPr="0065450D">
        <w:rPr>
          <w:bCs/>
        </w:rPr>
        <w:t xml:space="preserve">; </w:t>
      </w:r>
      <w:r w:rsidR="00C95526">
        <w:rPr>
          <w:b/>
          <w:bCs/>
        </w:rPr>
        <w:t>+3,37</w:t>
      </w:r>
      <w:r w:rsidR="0065450D" w:rsidRPr="00622BE1">
        <w:rPr>
          <w:b/>
          <w:bCs/>
        </w:rPr>
        <w:t>% rispetto al 201</w:t>
      </w:r>
      <w:r w:rsidR="00C95526">
        <w:rPr>
          <w:b/>
          <w:bCs/>
        </w:rPr>
        <w:t>6</w:t>
      </w:r>
      <w:r w:rsidRPr="0065450D">
        <w:rPr>
          <w:bCs/>
        </w:rPr>
        <w:t>)</w:t>
      </w:r>
      <w:r w:rsidR="0065450D">
        <w:rPr>
          <w:bCs/>
        </w:rPr>
        <w:t>;</w:t>
      </w:r>
    </w:p>
    <w:p w:rsidR="00632A83" w:rsidRPr="0065450D" w:rsidRDefault="00757944" w:rsidP="004F74D3">
      <w:pPr>
        <w:pStyle w:val="Paragrafoelenco"/>
        <w:numPr>
          <w:ilvl w:val="0"/>
          <w:numId w:val="2"/>
        </w:numPr>
        <w:jc w:val="both"/>
        <w:rPr>
          <w:bCs/>
        </w:rPr>
      </w:pPr>
      <w:r>
        <w:rPr>
          <w:bCs/>
        </w:rPr>
        <w:t>Più nel dettaglio</w:t>
      </w:r>
      <w:r w:rsidR="0065450D" w:rsidRPr="0065450D">
        <w:rPr>
          <w:bCs/>
        </w:rPr>
        <w:t xml:space="preserve"> il cinema statunitense</w:t>
      </w:r>
      <w:r>
        <w:rPr>
          <w:bCs/>
        </w:rPr>
        <w:t>, primo pe</w:t>
      </w:r>
      <w:r w:rsidR="00C95526">
        <w:rPr>
          <w:bCs/>
        </w:rPr>
        <w:t>r nazionalità al box office 2017</w:t>
      </w:r>
      <w:r>
        <w:rPr>
          <w:bCs/>
        </w:rPr>
        <w:t>,</w:t>
      </w:r>
      <w:r w:rsidR="00C95526">
        <w:rPr>
          <w:bCs/>
        </w:rPr>
        <w:t xml:space="preserve"> ha incassato 19.2</w:t>
      </w:r>
      <w:r w:rsidR="0065450D" w:rsidRPr="0065450D">
        <w:rPr>
          <w:bCs/>
        </w:rPr>
        <w:t xml:space="preserve"> milioni di €</w:t>
      </w:r>
      <w:r w:rsidR="00C95526">
        <w:rPr>
          <w:bCs/>
        </w:rPr>
        <w:t xml:space="preserve"> in più rispetto al 2016</w:t>
      </w:r>
      <w:r w:rsidR="0065450D" w:rsidRPr="0065450D">
        <w:rPr>
          <w:bCs/>
        </w:rPr>
        <w:t xml:space="preserve"> per un numero di </w:t>
      </w:r>
      <w:r w:rsidR="00C95526">
        <w:rPr>
          <w:bCs/>
        </w:rPr>
        <w:t>biglietti venduti superiore</w:t>
      </w:r>
      <w:r w:rsidR="003E0785">
        <w:rPr>
          <w:bCs/>
        </w:rPr>
        <w:t xml:space="preserve"> di </w:t>
      </w:r>
      <w:r w:rsidR="006204CB">
        <w:rPr>
          <w:bCs/>
        </w:rPr>
        <w:t>1.</w:t>
      </w:r>
      <w:r w:rsidR="00C95526">
        <w:rPr>
          <w:bCs/>
        </w:rPr>
        <w:t>9</w:t>
      </w:r>
      <w:r w:rsidR="0065450D" w:rsidRPr="0065450D">
        <w:rPr>
          <w:bCs/>
        </w:rPr>
        <w:t xml:space="preserve"> milioni di</w:t>
      </w:r>
      <w:r w:rsidR="005A4E9B">
        <w:rPr>
          <w:bCs/>
        </w:rPr>
        <w:t xml:space="preserve"> unità</w:t>
      </w:r>
      <w:r w:rsidR="0065450D" w:rsidRPr="0065450D">
        <w:rPr>
          <w:bCs/>
        </w:rPr>
        <w:t>;</w:t>
      </w:r>
    </w:p>
    <w:p w:rsidR="00632A83" w:rsidRPr="00A34720" w:rsidRDefault="0065450D" w:rsidP="004F74D3">
      <w:pPr>
        <w:pStyle w:val="Paragrafoelenco"/>
        <w:numPr>
          <w:ilvl w:val="0"/>
          <w:numId w:val="2"/>
        </w:numPr>
        <w:jc w:val="both"/>
        <w:rPr>
          <w:bCs/>
        </w:rPr>
      </w:pPr>
      <w:r w:rsidRPr="00622BE1">
        <w:rPr>
          <w:b/>
          <w:bCs/>
        </w:rPr>
        <w:t>Seguono</w:t>
      </w:r>
      <w:r w:rsidRPr="00A34720">
        <w:rPr>
          <w:bCs/>
        </w:rPr>
        <w:t xml:space="preserve">, dopo </w:t>
      </w:r>
      <w:r w:rsidR="00757944">
        <w:rPr>
          <w:bCs/>
        </w:rPr>
        <w:t xml:space="preserve">quello </w:t>
      </w:r>
      <w:r w:rsidRPr="00A34720">
        <w:rPr>
          <w:bCs/>
        </w:rPr>
        <w:t xml:space="preserve">americano e italiano, </w:t>
      </w:r>
      <w:r w:rsidRPr="00622BE1">
        <w:rPr>
          <w:b/>
          <w:bCs/>
        </w:rPr>
        <w:t>il cinema inglese</w:t>
      </w:r>
      <w:r w:rsidR="00C95526">
        <w:rPr>
          <w:bCs/>
        </w:rPr>
        <w:t xml:space="preserve"> (39</w:t>
      </w:r>
      <w:r w:rsidRPr="00A34720">
        <w:rPr>
          <w:bCs/>
        </w:rPr>
        <w:t>.7 milioni di € incassati al</w:t>
      </w:r>
      <w:r w:rsidR="00094F92">
        <w:rPr>
          <w:bCs/>
        </w:rPr>
        <w:t xml:space="preserve"> box office; quota mercato: 6,80%; -18,35% rispetto al 2016</w:t>
      </w:r>
      <w:r w:rsidRPr="00A34720">
        <w:rPr>
          <w:bCs/>
        </w:rPr>
        <w:t xml:space="preserve">), </w:t>
      </w:r>
      <w:r w:rsidRPr="00622BE1">
        <w:rPr>
          <w:b/>
          <w:bCs/>
        </w:rPr>
        <w:t>la produzione francese</w:t>
      </w:r>
      <w:r w:rsidR="00094F92">
        <w:rPr>
          <w:bCs/>
        </w:rPr>
        <w:t xml:space="preserve"> (24.7</w:t>
      </w:r>
      <w:r w:rsidRPr="00A34720">
        <w:rPr>
          <w:bCs/>
        </w:rPr>
        <w:t xml:space="preserve"> milioni di € incassati al box office; quota mercato</w:t>
      </w:r>
      <w:r w:rsidR="00094F92">
        <w:rPr>
          <w:bCs/>
        </w:rPr>
        <w:t>: 4,23%; +112,11% rispetto al 2016</w:t>
      </w:r>
      <w:r w:rsidRPr="00A34720">
        <w:rPr>
          <w:bCs/>
        </w:rPr>
        <w:t xml:space="preserve">) </w:t>
      </w:r>
      <w:r w:rsidRPr="00622BE1">
        <w:rPr>
          <w:b/>
          <w:bCs/>
        </w:rPr>
        <w:t>e quella tedesca</w:t>
      </w:r>
      <w:r w:rsidR="00094F92">
        <w:rPr>
          <w:bCs/>
        </w:rPr>
        <w:t xml:space="preserve"> (5.2</w:t>
      </w:r>
      <w:r w:rsidRPr="00A34720">
        <w:rPr>
          <w:bCs/>
        </w:rPr>
        <w:t xml:space="preserve"> milioni di € incassati al box</w:t>
      </w:r>
      <w:r w:rsidR="00094F92">
        <w:rPr>
          <w:bCs/>
        </w:rPr>
        <w:t xml:space="preserve"> office; quota mercato: 0,90%; -31,24% rispetto al 2016</w:t>
      </w:r>
      <w:r w:rsidRPr="00A34720">
        <w:rPr>
          <w:bCs/>
        </w:rPr>
        <w:t>);</w:t>
      </w:r>
    </w:p>
    <w:p w:rsidR="0065450D" w:rsidRPr="00A34720" w:rsidRDefault="0065450D" w:rsidP="004F74D3">
      <w:pPr>
        <w:pStyle w:val="Paragrafoelenco"/>
        <w:numPr>
          <w:ilvl w:val="0"/>
          <w:numId w:val="2"/>
        </w:numPr>
        <w:jc w:val="both"/>
        <w:rPr>
          <w:bCs/>
        </w:rPr>
      </w:pPr>
      <w:r w:rsidRPr="00622BE1">
        <w:rPr>
          <w:b/>
          <w:bCs/>
        </w:rPr>
        <w:t>La quota del cinema italiano al box office</w:t>
      </w:r>
      <w:r w:rsidR="00094F92">
        <w:rPr>
          <w:bCs/>
        </w:rPr>
        <w:t xml:space="preserve"> in termini di incassi del 17,64</w:t>
      </w:r>
      <w:r w:rsidRPr="00A34720">
        <w:rPr>
          <w:bCs/>
        </w:rPr>
        <w:t xml:space="preserve">% </w:t>
      </w:r>
      <w:r w:rsidR="00094F92">
        <w:rPr>
          <w:b/>
          <w:bCs/>
        </w:rPr>
        <w:t>è la peggiore degli ultimi quattro anni</w:t>
      </w:r>
      <w:r w:rsidRPr="00A34720">
        <w:rPr>
          <w:bCs/>
        </w:rPr>
        <w:t>;</w:t>
      </w:r>
    </w:p>
    <w:p w:rsidR="0065450D" w:rsidRDefault="00F24714" w:rsidP="004F74D3">
      <w:pPr>
        <w:pStyle w:val="Paragrafoelenco"/>
        <w:numPr>
          <w:ilvl w:val="0"/>
          <w:numId w:val="2"/>
        </w:numPr>
        <w:jc w:val="both"/>
        <w:rPr>
          <w:bCs/>
        </w:rPr>
      </w:pPr>
      <w:r>
        <w:rPr>
          <w:rFonts w:eastAsia="Times New Roman"/>
        </w:rPr>
        <w:t>Nel 2017 soltanto due produzioni nazionali hanno superato i 10 milioni di € d’incasso. I migliori risultati dell’anno, “L’ora legale” e “Mister Felicità” hanno incassato rispettivamente 10.3mln e 10.2mln di €”</w:t>
      </w:r>
      <w:r w:rsidR="00094F92">
        <w:rPr>
          <w:bCs/>
        </w:rPr>
        <w:t>;</w:t>
      </w:r>
    </w:p>
    <w:p w:rsidR="00094F92" w:rsidRDefault="00094F92" w:rsidP="004F74D3">
      <w:pPr>
        <w:pStyle w:val="Paragrafoelenco"/>
        <w:numPr>
          <w:ilvl w:val="0"/>
          <w:numId w:val="2"/>
        </w:numPr>
        <w:jc w:val="both"/>
        <w:rPr>
          <w:bCs/>
        </w:rPr>
      </w:pPr>
      <w:r>
        <w:rPr>
          <w:bCs/>
        </w:rPr>
        <w:t>Nel 2016, l’anno migliore del periodo in oggetto, i pr</w:t>
      </w:r>
      <w:r w:rsidR="00123E5E">
        <w:rPr>
          <w:bCs/>
        </w:rPr>
        <w:t>imi due risultati nazionali erano</w:t>
      </w:r>
      <w:r>
        <w:rPr>
          <w:bCs/>
        </w:rPr>
        <w:t xml:space="preserve"> stati registrati da “Quo Vado” (65.3mln) e “Perfetti sconosciuti” (17.3mln);</w:t>
      </w:r>
    </w:p>
    <w:p w:rsidR="00094F92" w:rsidRDefault="00094F92" w:rsidP="00094F92">
      <w:pPr>
        <w:pStyle w:val="Paragrafoelenco"/>
        <w:numPr>
          <w:ilvl w:val="0"/>
          <w:numId w:val="6"/>
        </w:numPr>
        <w:jc w:val="both"/>
      </w:pPr>
      <w:r>
        <w:rPr>
          <w:u w:val="single"/>
        </w:rPr>
        <w:t xml:space="preserve">Il </w:t>
      </w:r>
      <w:r w:rsidR="00123E5E">
        <w:rPr>
          <w:u w:val="single"/>
        </w:rPr>
        <w:t xml:space="preserve">solo </w:t>
      </w:r>
      <w:r>
        <w:rPr>
          <w:u w:val="single"/>
        </w:rPr>
        <w:t>film di Checco Zalone aveva</w:t>
      </w:r>
      <w:r w:rsidRPr="00386B78">
        <w:rPr>
          <w:u w:val="single"/>
        </w:rPr>
        <w:t xml:space="preserve"> corrisposto circa il 34% degli incassi e il 31% delle presenze del cinema italiano nel 2016</w:t>
      </w:r>
      <w:r>
        <w:t>;</w:t>
      </w:r>
    </w:p>
    <w:p w:rsidR="00094F92" w:rsidRPr="00094F92" w:rsidRDefault="00094F92" w:rsidP="00094F92">
      <w:pPr>
        <w:pStyle w:val="Paragrafoelenco"/>
        <w:numPr>
          <w:ilvl w:val="0"/>
          <w:numId w:val="6"/>
        </w:numPr>
        <w:jc w:val="both"/>
      </w:pPr>
      <w:r>
        <w:t xml:space="preserve">Rispetto al </w:t>
      </w:r>
      <w:r w:rsidR="00123E5E">
        <w:t>totale box office, “Quo Vado” aveva</w:t>
      </w:r>
      <w:r>
        <w:t xml:space="preserve"> invece</w:t>
      </w:r>
      <w:r w:rsidR="00123E5E">
        <w:t xml:space="preserve"> un “peso</w:t>
      </w:r>
      <w:r>
        <w:t>” per il 9.9% degli incassi e per l’8.9% delle presenze;</w:t>
      </w:r>
    </w:p>
    <w:p w:rsidR="00F865E5" w:rsidRDefault="00F865E5" w:rsidP="00CD30BA">
      <w:pPr>
        <w:spacing w:after="0"/>
        <w:rPr>
          <w:bCs/>
        </w:rPr>
      </w:pPr>
    </w:p>
    <w:p w:rsidR="00F865E5" w:rsidRDefault="00F865E5" w:rsidP="008628D3">
      <w:pPr>
        <w:spacing w:after="0"/>
        <w:rPr>
          <w:bCs/>
          <w:sz w:val="16"/>
          <w:szCs w:val="16"/>
        </w:rPr>
      </w:pPr>
      <w:r>
        <w:rPr>
          <w:bCs/>
        </w:rPr>
        <w:tab/>
      </w:r>
      <w:r>
        <w:rPr>
          <w:bCs/>
        </w:rPr>
        <w:tab/>
      </w:r>
      <w:r w:rsidR="00CD30BA" w:rsidRPr="00CD30BA">
        <w:rPr>
          <w:bCs/>
          <w:noProof/>
          <w:lang w:eastAsia="it-IT"/>
        </w:rPr>
        <w:drawing>
          <wp:inline distT="0" distB="0" distL="0" distR="0">
            <wp:extent cx="5381625" cy="3143250"/>
            <wp:effectExtent l="19050" t="0" r="9525" b="0"/>
            <wp:docPr id="3"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50D18" w:rsidRPr="00C50D18" w:rsidRDefault="00F266FF" w:rsidP="00C50D18">
      <w:pPr>
        <w:jc w:val="both"/>
        <w:rPr>
          <w:bCs/>
          <w:u w:val="single"/>
        </w:rPr>
      </w:pPr>
      <w:r w:rsidRPr="00F266FF">
        <w:rPr>
          <w:bCs/>
          <w:u w:val="single"/>
        </w:rPr>
        <w:t>L’andamento durante l’ann</w:t>
      </w:r>
      <w:r w:rsidR="00C50D18">
        <w:rPr>
          <w:bCs/>
          <w:u w:val="single"/>
        </w:rPr>
        <w:t>o</w:t>
      </w:r>
    </w:p>
    <w:p w:rsidR="00D916AE" w:rsidRDefault="00123E5E" w:rsidP="00C50D18">
      <w:pPr>
        <w:pStyle w:val="Paragrafoelenco"/>
        <w:numPr>
          <w:ilvl w:val="0"/>
          <w:numId w:val="4"/>
        </w:numPr>
        <w:ind w:left="360"/>
        <w:jc w:val="both"/>
      </w:pPr>
      <w:r>
        <w:lastRenderedPageBreak/>
        <w:t>Confermato, con % simili al 2016</w:t>
      </w:r>
      <w:r w:rsidR="00D916AE">
        <w:t>, il peso dei singoli mesi sul totale box office annuo;</w:t>
      </w:r>
    </w:p>
    <w:p w:rsidR="00D916AE" w:rsidRDefault="00D916AE" w:rsidP="00C50D18">
      <w:pPr>
        <w:pStyle w:val="Paragrafoelenco"/>
        <w:numPr>
          <w:ilvl w:val="0"/>
          <w:numId w:val="3"/>
        </w:numPr>
        <w:ind w:left="360"/>
        <w:jc w:val="both"/>
      </w:pPr>
      <w:r>
        <w:t xml:space="preserve">Il </w:t>
      </w:r>
      <w:r w:rsidRPr="008628D3">
        <w:rPr>
          <w:b/>
        </w:rPr>
        <w:t>mese più importante dal punto di vista degli incassirimaneanche nel 2016 quello digennaio</w:t>
      </w:r>
      <w:r w:rsidR="00C1342C">
        <w:t xml:space="preserve"> (15,26% del totale; il 20,91% nel 2016</w:t>
      </w:r>
      <w:r>
        <w:t xml:space="preserve">), </w:t>
      </w:r>
      <w:r w:rsidRPr="008628D3">
        <w:rPr>
          <w:b/>
        </w:rPr>
        <w:t>seguito dal mese didicembre</w:t>
      </w:r>
      <w:r w:rsidR="00C31382">
        <w:t xml:space="preserve"> (12.44%; 10,33% nel 2016</w:t>
      </w:r>
      <w:r>
        <w:t>);</w:t>
      </w:r>
    </w:p>
    <w:p w:rsidR="00D916AE" w:rsidRDefault="00D916AE" w:rsidP="00C50D18">
      <w:pPr>
        <w:pStyle w:val="Paragrafoelenco"/>
        <w:numPr>
          <w:ilvl w:val="0"/>
          <w:numId w:val="3"/>
        </w:numPr>
        <w:ind w:left="360"/>
        <w:jc w:val="both"/>
      </w:pPr>
      <w:r w:rsidRPr="008628D3">
        <w:rPr>
          <w:b/>
        </w:rPr>
        <w:t>I primi 3 mesi dell’anno (gennaio-marzo</w:t>
      </w:r>
      <w:r w:rsidR="00C31382">
        <w:rPr>
          <w:b/>
        </w:rPr>
        <w:t>) hanno corrisposto il 35,23</w:t>
      </w:r>
      <w:r w:rsidRPr="008628D3">
        <w:rPr>
          <w:b/>
        </w:rPr>
        <w:t>% degli incassi di tutto il 201</w:t>
      </w:r>
      <w:r w:rsidR="00C31382">
        <w:rPr>
          <w:b/>
        </w:rPr>
        <w:t>7</w:t>
      </w:r>
      <w:r w:rsidR="00C31382">
        <w:t xml:space="preserve"> (il 39,70% nel 2016, grazie soprattutto al maggiore peso del mese di gennaio</w:t>
      </w:r>
      <w:r w:rsidR="00C50D18">
        <w:t xml:space="preserve">). I 3 mesi estivi (giugno, luglio e agosto) hanno </w:t>
      </w:r>
      <w:r w:rsidR="005C303D">
        <w:t>invece “pesato” solamente per l’</w:t>
      </w:r>
      <w:r w:rsidR="00C31382">
        <w:t>11,70</w:t>
      </w:r>
      <w:r w:rsidR="00544CF9">
        <w:t>% (l’11.90</w:t>
      </w:r>
      <w:r w:rsidR="00C31382">
        <w:t>% nel 2016</w:t>
      </w:r>
      <w:r w:rsidR="00C50D18">
        <w:t>)</w:t>
      </w:r>
      <w:r>
        <w:t>;</w:t>
      </w:r>
    </w:p>
    <w:p w:rsidR="00544CF9" w:rsidRDefault="00544CF9" w:rsidP="00544CF9">
      <w:pPr>
        <w:pStyle w:val="Paragrafoelenco"/>
        <w:numPr>
          <w:ilvl w:val="0"/>
          <w:numId w:val="3"/>
        </w:numPr>
        <w:ind w:left="360"/>
        <w:jc w:val="both"/>
      </w:pPr>
      <w:r>
        <w:t xml:space="preserve">Rispetto all’incasso suddiviso per mesi, </w:t>
      </w:r>
      <w:r w:rsidRPr="00544CF9">
        <w:rPr>
          <w:b/>
        </w:rPr>
        <w:t>il 2017 ha vinto il confronto sul 2016 solamente per 4 mesi su 12</w:t>
      </w:r>
      <w:r>
        <w:t xml:space="preserve"> (aprile, luglio, settembre e dicembre);</w:t>
      </w:r>
    </w:p>
    <w:p w:rsidR="00544CF9" w:rsidRDefault="00544CF9" w:rsidP="00544CF9">
      <w:pPr>
        <w:pStyle w:val="Paragrafoelenco"/>
        <w:numPr>
          <w:ilvl w:val="0"/>
          <w:numId w:val="3"/>
        </w:numPr>
        <w:ind w:left="360"/>
        <w:jc w:val="both"/>
      </w:pPr>
      <w:r w:rsidRPr="00105417">
        <w:rPr>
          <w:b/>
        </w:rPr>
        <w:t>I mesi più negativi sono stati gennaio (-35,53</w:t>
      </w:r>
      <w:r w:rsidR="00C97ADB" w:rsidRPr="00105417">
        <w:rPr>
          <w:b/>
        </w:rPr>
        <w:t>%</w:t>
      </w:r>
      <w:r w:rsidRPr="00105417">
        <w:rPr>
          <w:b/>
        </w:rPr>
        <w:t>) e i tre mesi “estivi” di agosto (-24,06%), maggio (-23,50%) e giugno (-15,85%)</w:t>
      </w:r>
      <w:r>
        <w:t>;</w:t>
      </w:r>
    </w:p>
    <w:p w:rsidR="00BA2A2E" w:rsidRDefault="00BA2A2E" w:rsidP="00BA2A2E">
      <w:pPr>
        <w:pStyle w:val="Paragrafoelenco"/>
        <w:numPr>
          <w:ilvl w:val="0"/>
          <w:numId w:val="3"/>
        </w:numPr>
        <w:ind w:left="360"/>
        <w:jc w:val="both"/>
      </w:pPr>
      <w:r>
        <w:t>Più in generale, gli otto mesi “negativi” del box office lo sono stati in sei occasioni anche per la produzione nazionale ed in particolare i primi tre mesi dell’anno (il trimestre più importante in termini di incassi) che hanno segnato rispettivamente un calo</w:t>
      </w:r>
      <w:r w:rsidR="00105417">
        <w:t xml:space="preserve"> per il cinema italiano</w:t>
      </w:r>
      <w:r>
        <w:t xml:space="preserve"> del -76,8%, -43% e -28.4%;</w:t>
      </w:r>
    </w:p>
    <w:p w:rsidR="00C97ADB" w:rsidRDefault="00C97ADB" w:rsidP="00544CF9">
      <w:pPr>
        <w:pStyle w:val="Paragrafoelenco"/>
        <w:numPr>
          <w:ilvl w:val="0"/>
          <w:numId w:val="3"/>
        </w:numPr>
        <w:ind w:left="360"/>
        <w:jc w:val="both"/>
      </w:pPr>
      <w:r>
        <w:t>Come già sottolineato, nel mese di gennaio 2016 usciva in sala “Quo Vado” di Checco Zalone. In ragione di questo, durante questo mese il cinema italiano ha subito il maggior calo in % rispetto al 2016 di tutto l’anno (-76.8%)</w:t>
      </w:r>
      <w:r w:rsidR="0062713E">
        <w:t>, subito seguito dal mese di giugno</w:t>
      </w:r>
      <w:r w:rsidR="005A4E9B">
        <w:t xml:space="preserve"> (-69.4%)</w:t>
      </w:r>
      <w:r w:rsidR="0062713E">
        <w:t>, storicamente esiguo per la produzione nazionale in termini di box office ma che nel 2016 aveva comunque beneficiato dell’ottimo proseguimento di “La pazza gioia”</w:t>
      </w:r>
      <w:r>
        <w:t>;</w:t>
      </w:r>
    </w:p>
    <w:p w:rsidR="0062713E" w:rsidRDefault="0062713E" w:rsidP="00544CF9">
      <w:pPr>
        <w:pStyle w:val="Paragrafoelenco"/>
        <w:numPr>
          <w:ilvl w:val="0"/>
          <w:numId w:val="3"/>
        </w:numPr>
        <w:ind w:left="360"/>
        <w:jc w:val="both"/>
      </w:pPr>
      <w:r>
        <w:t>Il secondo mese</w:t>
      </w:r>
      <w:r w:rsidR="00105417">
        <w:t xml:space="preserve"> in generale</w:t>
      </w:r>
      <w:r>
        <w:t xml:space="preserve"> più negativo</w:t>
      </w:r>
      <w:r w:rsidR="00105417">
        <w:t xml:space="preserve"> nel confronto annuo</w:t>
      </w:r>
      <w:r>
        <w:t xml:space="preserve">, agosto, è stato invece quello che ha registrato la più forte contrazione del cinema americano rispetto al 2016 (-26%) quando la produzione statunitense </w:t>
      </w:r>
      <w:r w:rsidR="005A4E9B">
        <w:t>riuscì a proporre</w:t>
      </w:r>
      <w:r>
        <w:t xml:space="preserve"> un’uscita</w:t>
      </w:r>
      <w:r w:rsidR="005A4E9B">
        <w:t xml:space="preserve"> molto</w:t>
      </w:r>
      <w:r>
        <w:t xml:space="preserve"> importante in termini di performance come “Suicide Squad”;</w:t>
      </w:r>
    </w:p>
    <w:p w:rsidR="0062713E" w:rsidRDefault="0062713E" w:rsidP="00544CF9">
      <w:pPr>
        <w:pStyle w:val="Paragrafoelenco"/>
        <w:numPr>
          <w:ilvl w:val="0"/>
          <w:numId w:val="3"/>
        </w:numPr>
        <w:ind w:left="360"/>
        <w:jc w:val="both"/>
      </w:pPr>
      <w:r>
        <w:t>Deludente, con un calo, del 23,50% anche il mese di m</w:t>
      </w:r>
      <w:r w:rsidR="005A4E9B">
        <w:t>aggio, che ha registrato una diminuzione</w:t>
      </w:r>
      <w:r>
        <w:t xml:space="preserve"> con percentuali simili sia del cinema di produzione italiana che di quello americano (</w:t>
      </w:r>
      <w:r w:rsidR="005D2DEE">
        <w:t>rispettivamente -31.2% e -24.5%);</w:t>
      </w:r>
    </w:p>
    <w:p w:rsidR="005D2DEE" w:rsidRDefault="005A4E9B" w:rsidP="00544CF9">
      <w:pPr>
        <w:pStyle w:val="Paragrafoelenco"/>
        <w:numPr>
          <w:ilvl w:val="0"/>
          <w:numId w:val="3"/>
        </w:numPr>
        <w:ind w:left="360"/>
        <w:jc w:val="both"/>
      </w:pPr>
      <w:r>
        <w:t>Dal punto di vista internazionale</w:t>
      </w:r>
      <w:r w:rsidR="005D2DEE">
        <w:t>, la proposta “estiva” statunitense, quest’anno programmata quasi interamente in “day-and-date” a parte alcune eccezioni (“Dunkirk”, “Cars 3” e “Cattivissimo Me 3”), ha sofferto nel suo mercato d’origine, gli Stati Uniti, della peggiore stagione estiva al box office dal 2006;</w:t>
      </w:r>
    </w:p>
    <w:p w:rsidR="005D2DEE" w:rsidRDefault="005D2DEE" w:rsidP="00544CF9">
      <w:pPr>
        <w:pStyle w:val="Paragrafoelenco"/>
        <w:numPr>
          <w:ilvl w:val="0"/>
          <w:numId w:val="3"/>
        </w:numPr>
        <w:ind w:left="360"/>
        <w:jc w:val="both"/>
      </w:pPr>
      <w:r>
        <w:t>In Italia</w:t>
      </w:r>
      <w:r w:rsidR="007D588F">
        <w:t>,</w:t>
      </w:r>
      <w:r>
        <w:t xml:space="preserve"> invece, si è trattato del risultato trimestrale (giugno-luglio-agosto) più basso dal 2012</w:t>
      </w:r>
      <w:r w:rsidR="005A4E9B">
        <w:t>, mentre in Europa ha sofferto soprattutto nel mese di giugno a causa delle alte temperature inusuali per il periodo</w:t>
      </w:r>
      <w:r w:rsidR="000C7B64">
        <w:t xml:space="preserve">in particolare </w:t>
      </w:r>
      <w:r w:rsidR="00105417">
        <w:t>in Germania, Francia e Gran Bretagna</w:t>
      </w:r>
      <w:r>
        <w:t>;</w:t>
      </w:r>
    </w:p>
    <w:p w:rsidR="00F266FF" w:rsidRDefault="00BB673D" w:rsidP="00BB673D">
      <w:pPr>
        <w:pStyle w:val="Paragrafoelenco"/>
        <w:numPr>
          <w:ilvl w:val="0"/>
          <w:numId w:val="3"/>
        </w:numPr>
        <w:ind w:left="360"/>
        <w:jc w:val="both"/>
      </w:pPr>
      <w:r>
        <w:t xml:space="preserve">Positivi </w:t>
      </w:r>
      <w:r w:rsidR="00F266FF">
        <w:t xml:space="preserve">invece, </w:t>
      </w:r>
      <w:r w:rsidR="000C7B64">
        <w:t xml:space="preserve">come già anticipato, </w:t>
      </w:r>
      <w:r w:rsidR="00F266FF">
        <w:t>sempre in termini di in</w:t>
      </w:r>
      <w:r>
        <w:t>cassi, il mese di aprile, luglio</w:t>
      </w:r>
      <w:r w:rsidR="00F266FF">
        <w:t>,</w:t>
      </w:r>
      <w:r>
        <w:t xml:space="preserve"> settembre e dicembre</w:t>
      </w:r>
      <w:r w:rsidR="00F266FF">
        <w:t>;</w:t>
      </w:r>
    </w:p>
    <w:p w:rsidR="00F266FF" w:rsidRDefault="00C97ADB" w:rsidP="00C50D18">
      <w:pPr>
        <w:pStyle w:val="Paragrafoelenco"/>
        <w:numPr>
          <w:ilvl w:val="0"/>
          <w:numId w:val="3"/>
        </w:numPr>
        <w:ind w:left="360"/>
        <w:jc w:val="both"/>
      </w:pPr>
      <w:r>
        <w:t>Rispetto ad aprile e luglio</w:t>
      </w:r>
      <w:r w:rsidR="007D588F">
        <w:t xml:space="preserve"> alcune dei fattori</w:t>
      </w:r>
      <w:r>
        <w:t>determinanti della crescita</w:t>
      </w:r>
      <w:r w:rsidR="00F266FF">
        <w:t xml:space="preserve">si possono sicuramente riferire all’uscita </w:t>
      </w:r>
      <w:r w:rsidR="005A4E9B">
        <w:t>nel 2017</w:t>
      </w:r>
      <w:r w:rsidR="00F266FF">
        <w:t xml:space="preserve">dei titoli primaverili più forti nel mese di </w:t>
      </w:r>
      <w:r>
        <w:t xml:space="preserve">aprile </w:t>
      </w:r>
      <w:r w:rsidR="00F266FF">
        <w:t>in concomitanza, come sempre, delle festività pasquali (</w:t>
      </w:r>
      <w:r>
        <w:t>a differenza del 2016</w:t>
      </w:r>
      <w:r w:rsidR="00445EAF">
        <w:t xml:space="preserve"> quando Pas</w:t>
      </w:r>
      <w:r>
        <w:t xml:space="preserve">qua ricorreva nel mese </w:t>
      </w:r>
      <w:r w:rsidR="005A4E9B">
        <w:t>di marzo) e nel minor numero di</w:t>
      </w:r>
      <w:r w:rsidR="00445EAF">
        <w:t xml:space="preserve"> titoli</w:t>
      </w:r>
      <w:r>
        <w:t xml:space="preserve">nel 2016 rispetto al 2017 </w:t>
      </w:r>
      <w:r w:rsidR="005A4E9B">
        <w:t xml:space="preserve">di genere </w:t>
      </w:r>
      <w:r>
        <w:t>“blockbuster” durante lo svolgimento</w:t>
      </w:r>
      <w:r w:rsidR="005A4E9B">
        <w:t xml:space="preserve"> delle fasi finali dei</w:t>
      </w:r>
      <w:r w:rsidR="00445EAF">
        <w:t xml:space="preserve"> campionati europei di calcio;</w:t>
      </w:r>
    </w:p>
    <w:p w:rsidR="000D503A" w:rsidRPr="00437B9E" w:rsidRDefault="007D588F" w:rsidP="00BA2A2E">
      <w:pPr>
        <w:pStyle w:val="Paragrafoelenco"/>
        <w:numPr>
          <w:ilvl w:val="0"/>
          <w:numId w:val="3"/>
        </w:numPr>
        <w:ind w:left="360"/>
        <w:jc w:val="both"/>
      </w:pPr>
      <w:r>
        <w:t xml:space="preserve">Il mese di settembre rispetto al 2016 ha invece beneficiato del proseguimento dei titoli “estivi” posizionati a fine agosto (in particolare “Dunkirk” e “Cattivissimo me 3”) mentre il mese dicembre, nonostante il calo del cinema di produzione nazionale, ha goduto delle ottime performance del cinema statunitense che registra nel periodo la seconda migliore crescita rispetto al 2016 (+45%); </w:t>
      </w:r>
    </w:p>
    <w:p w:rsidR="00437B9E" w:rsidRPr="00B153C2" w:rsidRDefault="00437B9E" w:rsidP="00C50D18">
      <w:pPr>
        <w:pStyle w:val="Paragrafoelenco"/>
        <w:numPr>
          <w:ilvl w:val="0"/>
          <w:numId w:val="3"/>
        </w:numPr>
        <w:ind w:left="360"/>
        <w:jc w:val="both"/>
      </w:pPr>
      <w:r w:rsidRPr="008628D3">
        <w:rPr>
          <w:rFonts w:ascii="Calibri" w:eastAsia="Times New Roman" w:hAnsi="Calibri" w:cs="Times New Roman"/>
          <w:u w:val="single"/>
          <w:lang w:eastAsia="it-IT"/>
        </w:rPr>
        <w:t xml:space="preserve">Il mese migliore per il cinema italiano al box office è stato </w:t>
      </w:r>
      <w:r w:rsidR="00BA2A2E">
        <w:rPr>
          <w:rFonts w:ascii="Calibri" w:eastAsia="Times New Roman" w:hAnsi="Calibri" w:cs="Times New Roman"/>
          <w:u w:val="single"/>
          <w:lang w:eastAsia="it-IT"/>
        </w:rPr>
        <w:t xml:space="preserve">comunque quello di gennaio </w:t>
      </w:r>
      <w:r w:rsidRPr="008628D3">
        <w:rPr>
          <w:rFonts w:ascii="Calibri" w:eastAsia="Times New Roman" w:hAnsi="Calibri" w:cs="Times New Roman"/>
          <w:u w:val="single"/>
          <w:lang w:eastAsia="it-IT"/>
        </w:rPr>
        <w:t>grazie in particolare all’uscita di “</w:t>
      </w:r>
      <w:r w:rsidR="00BA2A2E">
        <w:rPr>
          <w:rFonts w:ascii="Calibri" w:eastAsia="Times New Roman" w:hAnsi="Calibri" w:cs="Times New Roman"/>
          <w:u w:val="single"/>
          <w:lang w:eastAsia="it-IT"/>
        </w:rPr>
        <w:t>L’ora legale</w:t>
      </w:r>
      <w:r w:rsidRPr="008628D3">
        <w:rPr>
          <w:rFonts w:ascii="Calibri" w:eastAsia="Times New Roman" w:hAnsi="Calibri" w:cs="Times New Roman"/>
          <w:u w:val="single"/>
          <w:lang w:eastAsia="it-IT"/>
        </w:rPr>
        <w:t>”</w:t>
      </w:r>
      <w:r w:rsidR="00BA2A2E">
        <w:rPr>
          <w:rFonts w:ascii="Calibri" w:eastAsia="Times New Roman" w:hAnsi="Calibri" w:cs="Times New Roman"/>
          <w:u w:val="single"/>
          <w:lang w:eastAsia="it-IT"/>
        </w:rPr>
        <w:t xml:space="preserve"> e “Mister Felicità“, i primi due incassi italiani dell’anno;</w:t>
      </w:r>
    </w:p>
    <w:p w:rsidR="00B153C2" w:rsidRPr="00B153C2" w:rsidRDefault="00B153C2" w:rsidP="00C50D18">
      <w:pPr>
        <w:pStyle w:val="Paragrafoelenco"/>
        <w:numPr>
          <w:ilvl w:val="0"/>
          <w:numId w:val="3"/>
        </w:numPr>
        <w:ind w:left="360"/>
        <w:jc w:val="both"/>
      </w:pPr>
      <w:r>
        <w:rPr>
          <w:rFonts w:ascii="Calibri" w:eastAsia="Times New Roman" w:hAnsi="Calibri" w:cs="Times New Roman"/>
          <w:lang w:eastAsia="it-IT"/>
        </w:rPr>
        <w:lastRenderedPageBreak/>
        <w:t xml:space="preserve">Il </w:t>
      </w:r>
      <w:r w:rsidRPr="008628D3">
        <w:rPr>
          <w:rFonts w:ascii="Calibri" w:eastAsia="Times New Roman" w:hAnsi="Calibri" w:cs="Times New Roman"/>
          <w:u w:val="single"/>
          <w:lang w:eastAsia="it-IT"/>
        </w:rPr>
        <w:t>mese peggiore</w:t>
      </w:r>
      <w:r>
        <w:rPr>
          <w:rFonts w:ascii="Calibri" w:eastAsia="Times New Roman" w:hAnsi="Calibri" w:cs="Times New Roman"/>
          <w:lang w:eastAsia="it-IT"/>
        </w:rPr>
        <w:t xml:space="preserve"> è stato invece</w:t>
      </w:r>
      <w:r w:rsidR="00BA2A2E">
        <w:rPr>
          <w:rFonts w:ascii="Calibri" w:eastAsia="Times New Roman" w:hAnsi="Calibri" w:cs="Times New Roman"/>
          <w:lang w:eastAsia="it-IT"/>
        </w:rPr>
        <w:t xml:space="preserve">, come nel </w:t>
      </w:r>
      <w:r w:rsidR="001666C9">
        <w:rPr>
          <w:rFonts w:ascii="Calibri" w:eastAsia="Times New Roman" w:hAnsi="Calibri" w:cs="Times New Roman"/>
          <w:lang w:eastAsia="it-IT"/>
        </w:rPr>
        <w:t>2016</w:t>
      </w:r>
      <w:r w:rsidR="00BA2A2E">
        <w:rPr>
          <w:rFonts w:ascii="Calibri" w:eastAsia="Times New Roman" w:hAnsi="Calibri" w:cs="Times New Roman"/>
          <w:lang w:eastAsia="it-IT"/>
        </w:rPr>
        <w:t xml:space="preserve">, </w:t>
      </w:r>
      <w:r>
        <w:rPr>
          <w:rFonts w:ascii="Calibri" w:eastAsia="Times New Roman" w:hAnsi="Calibri" w:cs="Times New Roman"/>
          <w:lang w:eastAsia="it-IT"/>
        </w:rPr>
        <w:t xml:space="preserve">quello di </w:t>
      </w:r>
      <w:r w:rsidRPr="008628D3">
        <w:rPr>
          <w:rFonts w:ascii="Calibri" w:eastAsia="Times New Roman" w:hAnsi="Calibri" w:cs="Times New Roman"/>
          <w:u w:val="single"/>
          <w:lang w:eastAsia="it-IT"/>
        </w:rPr>
        <w:t>agosto</w:t>
      </w:r>
      <w:r w:rsidRPr="0080689C">
        <w:rPr>
          <w:rFonts w:ascii="Calibri" w:eastAsia="Times New Roman" w:hAnsi="Calibri" w:cs="Times New Roman"/>
          <w:lang w:eastAsia="it-IT"/>
        </w:rPr>
        <w:t>, con un</w:t>
      </w:r>
      <w:r w:rsidRPr="008628D3">
        <w:rPr>
          <w:rFonts w:ascii="Calibri" w:eastAsia="Times New Roman" w:hAnsi="Calibri" w:cs="Times New Roman"/>
          <w:u w:val="single"/>
          <w:lang w:eastAsia="it-IT"/>
        </w:rPr>
        <w:t xml:space="preserve"> va</w:t>
      </w:r>
      <w:r w:rsidR="001666C9">
        <w:rPr>
          <w:rFonts w:ascii="Calibri" w:eastAsia="Times New Roman" w:hAnsi="Calibri" w:cs="Times New Roman"/>
          <w:u w:val="single"/>
          <w:lang w:eastAsia="it-IT"/>
        </w:rPr>
        <w:t>lore sul totale annuo dello 0,81</w:t>
      </w:r>
      <w:r w:rsidRPr="008628D3">
        <w:rPr>
          <w:rFonts w:ascii="Calibri" w:eastAsia="Times New Roman" w:hAnsi="Calibri" w:cs="Times New Roman"/>
          <w:u w:val="single"/>
          <w:lang w:eastAsia="it-IT"/>
        </w:rPr>
        <w:t>%;</w:t>
      </w:r>
    </w:p>
    <w:p w:rsidR="00367D27" w:rsidRDefault="001666C9" w:rsidP="008628D3">
      <w:pPr>
        <w:pStyle w:val="Paragrafoelenco"/>
        <w:numPr>
          <w:ilvl w:val="0"/>
          <w:numId w:val="3"/>
        </w:numPr>
        <w:ind w:left="360"/>
        <w:jc w:val="both"/>
      </w:pPr>
      <w:r>
        <w:rPr>
          <w:u w:val="single"/>
        </w:rPr>
        <w:t>Anche p</w:t>
      </w:r>
      <w:r w:rsidR="00B153C2" w:rsidRPr="008628D3">
        <w:rPr>
          <w:u w:val="single"/>
        </w:rPr>
        <w:t>er il cinema statunitense i</w:t>
      </w:r>
      <w:r>
        <w:rPr>
          <w:u w:val="single"/>
        </w:rPr>
        <w:t>l mese migliore è stato nel 2017</w:t>
      </w:r>
      <w:r w:rsidR="00B153C2" w:rsidRPr="008628D3">
        <w:rPr>
          <w:u w:val="single"/>
        </w:rPr>
        <w:t xml:space="preserve"> quello di ottobre</w:t>
      </w:r>
      <w:r>
        <w:t xml:space="preserve"> (nel 2016</w:t>
      </w:r>
      <w:r w:rsidR="00B153C2">
        <w:t xml:space="preserve"> era stato il mese di</w:t>
      </w:r>
      <w:r>
        <w:t xml:space="preserve"> ottobre</w:t>
      </w:r>
      <w:r w:rsidR="00B153C2">
        <w:t xml:space="preserve">) </w:t>
      </w:r>
      <w:r w:rsidR="00B153C2" w:rsidRPr="008628D3">
        <w:rPr>
          <w:u w:val="single"/>
        </w:rPr>
        <w:t>mentre quello peggiore è risultato essere il mes</w:t>
      </w:r>
      <w:r w:rsidR="00367D27" w:rsidRPr="008628D3">
        <w:rPr>
          <w:u w:val="single"/>
        </w:rPr>
        <w:t>e di luglio, così come nel 201</w:t>
      </w:r>
      <w:r>
        <w:rPr>
          <w:u w:val="single"/>
        </w:rPr>
        <w:t>6</w:t>
      </w:r>
      <w:r w:rsidR="00367D27">
        <w:t>.</w:t>
      </w:r>
    </w:p>
    <w:p w:rsidR="00367D27" w:rsidRDefault="00367D27" w:rsidP="00367D27">
      <w:pPr>
        <w:spacing w:after="0" w:line="240" w:lineRule="auto"/>
        <w:jc w:val="center"/>
      </w:pPr>
    </w:p>
    <w:p w:rsidR="00367D27" w:rsidRDefault="00544CF9" w:rsidP="00C1342C">
      <w:pPr>
        <w:spacing w:after="0" w:line="240" w:lineRule="auto"/>
      </w:pPr>
      <w:r w:rsidRPr="00544CF9">
        <w:rPr>
          <w:noProof/>
          <w:lang w:eastAsia="it-IT"/>
        </w:rPr>
        <w:drawing>
          <wp:inline distT="0" distB="0" distL="0" distR="0">
            <wp:extent cx="6120130" cy="2444492"/>
            <wp:effectExtent l="0" t="19050" r="71120" b="51058"/>
            <wp:docPr id="13"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D27" w:rsidRDefault="00367D27" w:rsidP="00285BE0">
      <w:pPr>
        <w:spacing w:after="0" w:line="240" w:lineRule="auto"/>
        <w:rPr>
          <w:bCs/>
          <w:sz w:val="16"/>
          <w:szCs w:val="16"/>
        </w:rPr>
      </w:pPr>
    </w:p>
    <w:p w:rsidR="00386B78" w:rsidRPr="005A4E9B" w:rsidRDefault="0062713E" w:rsidP="00BA2A2E">
      <w:pPr>
        <w:jc w:val="both"/>
        <w:rPr>
          <w:bCs/>
          <w:sz w:val="16"/>
          <w:szCs w:val="16"/>
        </w:rPr>
      </w:pPr>
      <w:r w:rsidRPr="0062713E">
        <w:rPr>
          <w:bCs/>
          <w:noProof/>
          <w:sz w:val="16"/>
          <w:szCs w:val="16"/>
          <w:lang w:eastAsia="it-IT"/>
        </w:rPr>
        <w:drawing>
          <wp:inline distT="0" distB="0" distL="0" distR="0">
            <wp:extent cx="6120130" cy="2248098"/>
            <wp:effectExtent l="0" t="19050" r="71120" b="56952"/>
            <wp:docPr id="17"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153C2" w:rsidRPr="00367D27" w:rsidRDefault="00470CF7" w:rsidP="006346AF">
      <w:pPr>
        <w:jc w:val="both"/>
      </w:pPr>
      <w:r w:rsidRPr="00367D27">
        <w:rPr>
          <w:u w:val="single"/>
        </w:rPr>
        <w:t>I migliori incassi</w:t>
      </w:r>
    </w:p>
    <w:p w:rsidR="00B153C2" w:rsidRDefault="001666C9" w:rsidP="006346AF">
      <w:pPr>
        <w:pStyle w:val="Paragrafoelenco"/>
        <w:numPr>
          <w:ilvl w:val="0"/>
          <w:numId w:val="6"/>
        </w:numPr>
        <w:jc w:val="both"/>
      </w:pPr>
      <w:r>
        <w:rPr>
          <w:b/>
        </w:rPr>
        <w:t>Il primo incasso del 2017</w:t>
      </w:r>
      <w:r w:rsidR="00B153C2" w:rsidRPr="00386B78">
        <w:rPr>
          <w:b/>
        </w:rPr>
        <w:t xml:space="preserve"> è stato</w:t>
      </w:r>
      <w:r w:rsidR="00100E81" w:rsidRPr="00386B78">
        <w:rPr>
          <w:b/>
        </w:rPr>
        <w:t xml:space="preserve"> registrato da</w:t>
      </w:r>
      <w:r w:rsidR="00FD79DC" w:rsidRPr="00386B78">
        <w:rPr>
          <w:b/>
        </w:rPr>
        <w:t>l film</w:t>
      </w:r>
      <w:r w:rsidR="00B153C2" w:rsidRPr="00386B78">
        <w:rPr>
          <w:b/>
        </w:rPr>
        <w:t xml:space="preserve"> “</w:t>
      </w:r>
      <w:r>
        <w:rPr>
          <w:b/>
        </w:rPr>
        <w:t>La bella e la bestia</w:t>
      </w:r>
      <w:r w:rsidR="00B153C2" w:rsidRPr="00386B78">
        <w:rPr>
          <w:b/>
        </w:rPr>
        <w:t>”</w:t>
      </w:r>
      <w:r>
        <w:rPr>
          <w:b/>
        </w:rPr>
        <w:t xml:space="preserve"> con un box office di 20.5mln di €</w:t>
      </w:r>
      <w:r w:rsidR="00B153C2">
        <w:t>;</w:t>
      </w:r>
    </w:p>
    <w:p w:rsidR="001666C9" w:rsidRDefault="001666C9" w:rsidP="006346AF">
      <w:pPr>
        <w:pStyle w:val="Paragrafoelenco"/>
        <w:numPr>
          <w:ilvl w:val="0"/>
          <w:numId w:val="6"/>
        </w:numPr>
        <w:jc w:val="both"/>
      </w:pPr>
      <w:r w:rsidRPr="001666C9">
        <w:t>Si tratta del</w:t>
      </w:r>
      <w:r>
        <w:rPr>
          <w:b/>
        </w:rPr>
        <w:t xml:space="preserve"> primo film al box office annuale con l’incasso più basso dal 2014 </w:t>
      </w:r>
      <w:r w:rsidRPr="001666C9">
        <w:t>(“Maleficent” con un incasso di 14mln di €);</w:t>
      </w:r>
    </w:p>
    <w:p w:rsidR="001666C9" w:rsidRDefault="001666C9" w:rsidP="006346AF">
      <w:pPr>
        <w:pStyle w:val="Paragrafoelenco"/>
        <w:numPr>
          <w:ilvl w:val="0"/>
          <w:numId w:val="6"/>
        </w:numPr>
        <w:jc w:val="both"/>
      </w:pPr>
      <w:r>
        <w:t>Rispetto al totale del box office,</w:t>
      </w:r>
      <w:r w:rsidR="005A4E9B">
        <w:t xml:space="preserve"> il film Disney ha corrisposto il 4% degli incassi e i</w:t>
      </w:r>
      <w:r>
        <w:t>l 3% delle presenze;</w:t>
      </w:r>
    </w:p>
    <w:p w:rsidR="006931BA" w:rsidRDefault="006931BA" w:rsidP="006346AF">
      <w:pPr>
        <w:pStyle w:val="Paragrafoelenco"/>
        <w:numPr>
          <w:ilvl w:val="0"/>
          <w:numId w:val="6"/>
        </w:numPr>
        <w:jc w:val="both"/>
      </w:pPr>
      <w:r>
        <w:t>Rispetto al totale box office, “Quo Vado</w:t>
      </w:r>
      <w:r w:rsidR="00470CF7">
        <w:t xml:space="preserve">” </w:t>
      </w:r>
      <w:r w:rsidR="001666C9">
        <w:t>aveva invece avuto un “peso</w:t>
      </w:r>
      <w:r w:rsidR="00470CF7">
        <w:t>” per il</w:t>
      </w:r>
      <w:r>
        <w:t xml:space="preserve"> 9</w:t>
      </w:r>
      <w:r w:rsidR="00470CF7">
        <w:t>.9</w:t>
      </w:r>
      <w:r>
        <w:t xml:space="preserve">% degli incassi e per </w:t>
      </w:r>
      <w:r w:rsidR="00470CF7">
        <w:t xml:space="preserve">l’8.9% </w:t>
      </w:r>
      <w:r>
        <w:t>delle presenze;</w:t>
      </w:r>
    </w:p>
    <w:p w:rsidR="00030435" w:rsidRDefault="00030435" w:rsidP="006346AF">
      <w:pPr>
        <w:pStyle w:val="Paragrafoelenco"/>
        <w:numPr>
          <w:ilvl w:val="0"/>
          <w:numId w:val="6"/>
        </w:numPr>
        <w:jc w:val="both"/>
      </w:pPr>
      <w:r>
        <w:t>I migliori risultati al box office da produzioni nazionali sono invece stati invece registrati da “L’ora legale” e “Mister felicità” rispettivamente in nona e decima posizione in classifica generale;</w:t>
      </w:r>
    </w:p>
    <w:p w:rsidR="00030435" w:rsidRDefault="00030435" w:rsidP="006346AF">
      <w:pPr>
        <w:pStyle w:val="Paragrafoelenco"/>
        <w:numPr>
          <w:ilvl w:val="0"/>
          <w:numId w:val="6"/>
        </w:numPr>
        <w:jc w:val="both"/>
      </w:pPr>
      <w:r>
        <w:t>Queste due pellicole sono anche le uniche due di nazionalità italiani tra i primi 25 incassi (erano cinque n</w:t>
      </w:r>
      <w:r w:rsidR="00B61EE1">
        <w:t>el 2016</w:t>
      </w:r>
      <w:r w:rsidR="000C7B64">
        <w:t>)</w:t>
      </w:r>
      <w:r w:rsidR="00B61EE1">
        <w:t>;</w:t>
      </w:r>
    </w:p>
    <w:p w:rsidR="00470CF7" w:rsidRDefault="00470CF7" w:rsidP="006346AF">
      <w:pPr>
        <w:pStyle w:val="Paragrafoelenco"/>
        <w:numPr>
          <w:ilvl w:val="0"/>
          <w:numId w:val="6"/>
        </w:numPr>
        <w:jc w:val="both"/>
      </w:pPr>
      <w:r w:rsidRPr="00386B78">
        <w:rPr>
          <w:b/>
        </w:rPr>
        <w:lastRenderedPageBreak/>
        <w:t xml:space="preserve">La somma degli incassi dei primi due film italiani </w:t>
      </w:r>
      <w:r w:rsidR="00030435">
        <w:rPr>
          <w:b/>
        </w:rPr>
        <w:t xml:space="preserve">nel 2016 </w:t>
      </w:r>
      <w:r w:rsidRPr="00386B78">
        <w:t>corrisponde</w:t>
      </w:r>
      <w:r w:rsidR="00030435">
        <w:t>va</w:t>
      </w:r>
      <w:r w:rsidRPr="00386B78">
        <w:t xml:space="preserve"> al</w:t>
      </w:r>
      <w:r w:rsidR="000252EF">
        <w:rPr>
          <w:b/>
        </w:rPr>
        <w:t xml:space="preserve"> 43.4</w:t>
      </w:r>
      <w:r w:rsidRPr="00386B78">
        <w:rPr>
          <w:b/>
        </w:rPr>
        <w:t xml:space="preserve">% del box office dei film di produzione nazionale </w:t>
      </w:r>
      <w:r w:rsidRPr="00386B78">
        <w:t>e al</w:t>
      </w:r>
      <w:r w:rsidR="000252EF">
        <w:rPr>
          <w:b/>
        </w:rPr>
        <w:t xml:space="preserve"> 40.4</w:t>
      </w:r>
      <w:r w:rsidRPr="00386B78">
        <w:rPr>
          <w:b/>
        </w:rPr>
        <w:t>% del numero dei biglietti venduti</w:t>
      </w:r>
      <w:r w:rsidR="00100E81" w:rsidRPr="00386B78">
        <w:rPr>
          <w:b/>
        </w:rPr>
        <w:t xml:space="preserve">, </w:t>
      </w:r>
      <w:r w:rsidR="00100E81" w:rsidRPr="00386B78">
        <w:t>a dimostrazione di una</w:t>
      </w:r>
      <w:r w:rsidR="00100E81" w:rsidRPr="00386B78">
        <w:rPr>
          <w:b/>
        </w:rPr>
        <w:t xml:space="preserve"> fortissima concentrazione degli incassi della produzione nazionale su due soli titoli</w:t>
      </w:r>
      <w:r>
        <w:t>;</w:t>
      </w:r>
    </w:p>
    <w:p w:rsidR="00100E81" w:rsidRDefault="00030435" w:rsidP="006346AF">
      <w:pPr>
        <w:pStyle w:val="Paragrafoelenco"/>
        <w:numPr>
          <w:ilvl w:val="0"/>
          <w:numId w:val="6"/>
        </w:numPr>
        <w:jc w:val="both"/>
      </w:pPr>
      <w:r>
        <w:rPr>
          <w:b/>
        </w:rPr>
        <w:t>Nel 2017</w:t>
      </w:r>
      <w:r w:rsidR="00100E81" w:rsidRPr="00386B78">
        <w:rPr>
          <w:b/>
        </w:rPr>
        <w:t xml:space="preserve"> la somma dei primi</w:t>
      </w:r>
      <w:r>
        <w:rPr>
          <w:b/>
        </w:rPr>
        <w:t xml:space="preserve"> due film italiani corrisponde</w:t>
      </w:r>
      <w:r w:rsidR="00100E81" w:rsidRPr="00386B78">
        <w:t>invece al</w:t>
      </w:r>
      <w:r>
        <w:rPr>
          <w:b/>
        </w:rPr>
        <w:t xml:space="preserve"> 19,95</w:t>
      </w:r>
      <w:r w:rsidR="00100E81" w:rsidRPr="00386B78">
        <w:rPr>
          <w:b/>
        </w:rPr>
        <w:t xml:space="preserve">% del box office dei film di produzione nazionale </w:t>
      </w:r>
      <w:r w:rsidR="00100E81" w:rsidRPr="00386B78">
        <w:t>e al</w:t>
      </w:r>
      <w:r>
        <w:rPr>
          <w:b/>
        </w:rPr>
        <w:t xml:space="preserve"> 20,70</w:t>
      </w:r>
      <w:r w:rsidR="00100E81" w:rsidRPr="00386B78">
        <w:rPr>
          <w:b/>
        </w:rPr>
        <w:t>% dei biglietti venduti</w:t>
      </w:r>
      <w:r w:rsidR="00100E81">
        <w:t>;</w:t>
      </w:r>
    </w:p>
    <w:p w:rsidR="00100E81" w:rsidRDefault="00030435" w:rsidP="006346AF">
      <w:pPr>
        <w:pStyle w:val="Paragrafoelenco"/>
        <w:numPr>
          <w:ilvl w:val="0"/>
          <w:numId w:val="6"/>
        </w:numPr>
        <w:jc w:val="both"/>
      </w:pPr>
      <w:r>
        <w:t xml:space="preserve">Abbastanza </w:t>
      </w:r>
      <w:r w:rsidR="00100E81">
        <w:t>simile invece il “peso” dei primi 10 incassi sul totale presenze/incassi negli ultimi</w:t>
      </w:r>
      <w:r w:rsidR="00590BE5">
        <w:t xml:space="preserve"> due anni: </w:t>
      </w:r>
      <w:r>
        <w:t xml:space="preserve">24,28% e 23,09% nel 2017, </w:t>
      </w:r>
      <w:r w:rsidR="00590BE5">
        <w:t>28.30% e 26.76</w:t>
      </w:r>
      <w:r w:rsidR="00100E81">
        <w:t>% nel 2016;</w:t>
      </w:r>
    </w:p>
    <w:p w:rsidR="004172C0" w:rsidRDefault="004172C0" w:rsidP="006346AF">
      <w:pPr>
        <w:pStyle w:val="Paragrafoelenco"/>
        <w:numPr>
          <w:ilvl w:val="0"/>
          <w:numId w:val="6"/>
        </w:numPr>
        <w:jc w:val="both"/>
      </w:pPr>
      <w:r>
        <w:t xml:space="preserve">Tra </w:t>
      </w:r>
      <w:r w:rsidRPr="00B61EE1">
        <w:rPr>
          <w:b/>
        </w:rPr>
        <w:t>i generi</w:t>
      </w:r>
      <w:r>
        <w:t xml:space="preserve">, </w:t>
      </w:r>
      <w:r w:rsidRPr="00B61EE1">
        <w:rPr>
          <w:b/>
        </w:rPr>
        <w:t>il preferito rimane la commedia</w:t>
      </w:r>
      <w:r>
        <w:t xml:space="preserve"> per quanto riguarda l</w:t>
      </w:r>
      <w:r w:rsidR="00B61EE1">
        <w:t>a produzione nazionale, nel 2017 (“L’ora legale” e “Mister Felicità”) così come nel 2016</w:t>
      </w:r>
      <w:r>
        <w:t xml:space="preserve"> (“Quo vado” e “Perfetti sconosciuti” i pr</w:t>
      </w:r>
      <w:r w:rsidR="00B61EE1">
        <w:t>imi due film)</w:t>
      </w:r>
      <w:r w:rsidR="004F69D5">
        <w:t>;</w:t>
      </w:r>
    </w:p>
    <w:p w:rsidR="004F69D5" w:rsidRDefault="004F69D5" w:rsidP="006346AF">
      <w:pPr>
        <w:pStyle w:val="Paragrafoelenco"/>
        <w:numPr>
          <w:ilvl w:val="0"/>
          <w:numId w:val="6"/>
        </w:numPr>
        <w:jc w:val="both"/>
      </w:pPr>
      <w:r w:rsidRPr="000C7B64">
        <w:rPr>
          <w:b/>
        </w:rPr>
        <w:t xml:space="preserve">Rispetto alla produzione straniera si confermano in Top10 </w:t>
      </w:r>
      <w:r w:rsidR="00B61EE1" w:rsidRPr="000C7B64">
        <w:rPr>
          <w:b/>
        </w:rPr>
        <w:t>i grandi franchise</w:t>
      </w:r>
      <w:r w:rsidR="00B61EE1">
        <w:t xml:space="preserve"> con ben cinque</w:t>
      </w:r>
      <w:r>
        <w:t xml:space="preserve"> titoli (</w:t>
      </w:r>
      <w:r w:rsidR="00B61EE1">
        <w:t xml:space="preserve">“Cattivissimo Me”, </w:t>
      </w:r>
      <w:r w:rsidR="00F173F9">
        <w:t xml:space="preserve">“50 sfumature”, </w:t>
      </w:r>
      <w:r w:rsidR="00B61EE1">
        <w:t>“Fast &amp; Furious”, “Star Wars” “Pirati dei caraibi”), il “live action Disney” con “La bella e la bestia” (</w:t>
      </w:r>
      <w:r w:rsidR="00F173F9">
        <w:t xml:space="preserve">come nel 2014, quando </w:t>
      </w:r>
      <w:r w:rsidR="00B61EE1">
        <w:t>“Maleficent” guadagnò il primo incasso dell’anno) e due “classici” dalla letteratura già riproposti sul grande e piccolo schermo (“It” e “Assassinio sull’Orient Express”</w:t>
      </w:r>
      <w:r>
        <w:t>;</w:t>
      </w:r>
    </w:p>
    <w:p w:rsidR="005D3E12" w:rsidRDefault="00B61EE1" w:rsidP="006346AF">
      <w:pPr>
        <w:pStyle w:val="Paragrafoelenco"/>
        <w:numPr>
          <w:ilvl w:val="0"/>
          <w:numId w:val="6"/>
        </w:numPr>
        <w:jc w:val="both"/>
      </w:pPr>
      <w:r>
        <w:t>Una curiosità: tra i primi dieci titoli ci sono due pellicole vietate ai minori di 14 anni (“Cinquanta sfumature di nero” e “It”).</w:t>
      </w:r>
    </w:p>
    <w:p w:rsidR="00B61EE1" w:rsidRPr="00B61EE1" w:rsidRDefault="00B61EE1" w:rsidP="00B61EE1">
      <w:pPr>
        <w:pStyle w:val="Paragrafoelenco"/>
        <w:ind w:left="360"/>
        <w:jc w:val="both"/>
      </w:pPr>
    </w:p>
    <w:p w:rsidR="004F69D5" w:rsidRPr="003C178A" w:rsidRDefault="004F69D5" w:rsidP="006346AF">
      <w:pPr>
        <w:jc w:val="both"/>
        <w:rPr>
          <w:u w:val="single"/>
        </w:rPr>
      </w:pPr>
      <w:r w:rsidRPr="003C178A">
        <w:rPr>
          <w:u w:val="single"/>
        </w:rPr>
        <w:t>Le società di distribuzione</w:t>
      </w:r>
    </w:p>
    <w:p w:rsidR="00F173F9" w:rsidRDefault="00B61EE1" w:rsidP="006346AF">
      <w:pPr>
        <w:pStyle w:val="Paragrafoelenco"/>
        <w:numPr>
          <w:ilvl w:val="0"/>
          <w:numId w:val="7"/>
        </w:numPr>
        <w:ind w:left="360"/>
        <w:jc w:val="both"/>
      </w:pPr>
      <w:r w:rsidRPr="00B61EE1">
        <w:t>Come nel 2016</w:t>
      </w:r>
      <w:r>
        <w:rPr>
          <w:b/>
        </w:rPr>
        <w:t xml:space="preserve">, </w:t>
      </w:r>
      <w:r w:rsidR="004F69D5" w:rsidRPr="005D3E12">
        <w:rPr>
          <w:b/>
        </w:rPr>
        <w:t>Warner Bros. Italia</w:t>
      </w:r>
      <w:r w:rsidR="004F69D5">
        <w:t xml:space="preserve"> è la </w:t>
      </w:r>
      <w:r w:rsidR="004F69D5" w:rsidRPr="005D3E12">
        <w:rPr>
          <w:b/>
        </w:rPr>
        <w:t>prima società di distribuzione</w:t>
      </w:r>
      <w:r w:rsidR="004F69D5">
        <w:t xml:space="preserve"> con un incasso totale di </w:t>
      </w:r>
      <w:r>
        <w:rPr>
          <w:b/>
        </w:rPr>
        <w:t>115.5</w:t>
      </w:r>
      <w:r w:rsidR="004F69D5" w:rsidRPr="005D3E12">
        <w:rPr>
          <w:b/>
        </w:rPr>
        <w:t xml:space="preserve"> mi</w:t>
      </w:r>
      <w:r>
        <w:rPr>
          <w:b/>
        </w:rPr>
        <w:t>lioni di € (quota mercato box office: 19.76%</w:t>
      </w:r>
      <w:r w:rsidR="004F69D5" w:rsidRPr="005D3E12">
        <w:rPr>
          <w:b/>
        </w:rPr>
        <w:t>)</w:t>
      </w:r>
      <w:r>
        <w:rPr>
          <w:b/>
        </w:rPr>
        <w:t xml:space="preserve">, </w:t>
      </w:r>
      <w:r w:rsidRPr="00F173F9">
        <w:t>seguita da</w:t>
      </w:r>
      <w:r>
        <w:rPr>
          <w:b/>
        </w:rPr>
        <w:t xml:space="preserve"> Universal Pictures </w:t>
      </w:r>
      <w:r w:rsidR="00F173F9" w:rsidRPr="00F173F9">
        <w:t>(107.1mln; quota mercato 18,31%),</w:t>
      </w:r>
      <w:r w:rsidR="00F173F9">
        <w:rPr>
          <w:b/>
        </w:rPr>
        <w:t xml:space="preserve"> Walt Disney Italia </w:t>
      </w:r>
      <w:r w:rsidR="00F173F9" w:rsidRPr="00F173F9">
        <w:t>(81.8mln; quota 14%),</w:t>
      </w:r>
      <w:r w:rsidR="00F173F9" w:rsidRPr="00F173F9">
        <w:rPr>
          <w:b/>
        </w:rPr>
        <w:t>20th Century Fox</w:t>
      </w:r>
      <w:r w:rsidR="00F173F9">
        <w:t xml:space="preserve"> (57.2mln; quota 9,79%) e </w:t>
      </w:r>
      <w:r w:rsidR="00F173F9">
        <w:rPr>
          <w:b/>
        </w:rPr>
        <w:t>01 Distribution</w:t>
      </w:r>
      <w:r w:rsidR="00F173F9">
        <w:t>(56.5mln; quota 9,67%) .</w:t>
      </w:r>
    </w:p>
    <w:p w:rsidR="003C178A" w:rsidRDefault="003C178A" w:rsidP="006346AF">
      <w:pPr>
        <w:pStyle w:val="Paragrafoelenco"/>
        <w:ind w:left="360"/>
        <w:jc w:val="both"/>
      </w:pPr>
    </w:p>
    <w:p w:rsidR="003C178A" w:rsidRPr="003C178A" w:rsidRDefault="003C178A" w:rsidP="006346AF">
      <w:pPr>
        <w:jc w:val="both"/>
        <w:rPr>
          <w:u w:val="single"/>
        </w:rPr>
      </w:pPr>
      <w:r w:rsidRPr="003C178A">
        <w:rPr>
          <w:u w:val="single"/>
        </w:rPr>
        <w:t xml:space="preserve">I primi dati dagli </w:t>
      </w:r>
      <w:r w:rsidR="001515F9">
        <w:rPr>
          <w:u w:val="single"/>
        </w:rPr>
        <w:t xml:space="preserve">altri mercati europei: </w:t>
      </w:r>
      <w:r w:rsidR="001515F9" w:rsidRPr="003C178A">
        <w:rPr>
          <w:u w:val="single"/>
        </w:rPr>
        <w:t>Francia</w:t>
      </w:r>
      <w:r w:rsidR="00542985">
        <w:rPr>
          <w:u w:val="single"/>
        </w:rPr>
        <w:t xml:space="preserve">, Spagna, </w:t>
      </w:r>
      <w:r w:rsidR="001515F9">
        <w:rPr>
          <w:u w:val="single"/>
        </w:rPr>
        <w:t>Germania</w:t>
      </w:r>
      <w:r w:rsidR="00542985">
        <w:rPr>
          <w:u w:val="single"/>
        </w:rPr>
        <w:t xml:space="preserve"> e Gran Bretagna</w:t>
      </w:r>
    </w:p>
    <w:p w:rsidR="000E2D9A" w:rsidRDefault="003C178A" w:rsidP="006346AF">
      <w:pPr>
        <w:pStyle w:val="Paragrafoelenco"/>
        <w:numPr>
          <w:ilvl w:val="0"/>
          <w:numId w:val="8"/>
        </w:numPr>
        <w:ind w:left="360"/>
        <w:jc w:val="both"/>
      </w:pPr>
      <w:r>
        <w:t xml:space="preserve">Secondo i primi dati forniti dal CNC, </w:t>
      </w:r>
      <w:r w:rsidRPr="003C178A">
        <w:rPr>
          <w:b/>
        </w:rPr>
        <w:t>in Francia nel 201</w:t>
      </w:r>
      <w:r w:rsidR="00F173F9">
        <w:rPr>
          <w:b/>
        </w:rPr>
        <w:t>7</w:t>
      </w:r>
      <w:r>
        <w:t xml:space="preserve"> si è registrato un</w:t>
      </w:r>
      <w:r w:rsidR="00F173F9">
        <w:t>a</w:t>
      </w:r>
      <w:r w:rsidR="00F173F9">
        <w:rPr>
          <w:b/>
        </w:rPr>
        <w:t>diminuzione</w:t>
      </w:r>
      <w:r w:rsidRPr="00D76930">
        <w:rPr>
          <w:b/>
        </w:rPr>
        <w:t xml:space="preserve"> del num</w:t>
      </w:r>
      <w:r w:rsidR="00F173F9">
        <w:rPr>
          <w:b/>
        </w:rPr>
        <w:t>ero di biglietti venduti del 2</w:t>
      </w:r>
      <w:r w:rsidRPr="00D76930">
        <w:rPr>
          <w:b/>
        </w:rPr>
        <w:t>%</w:t>
      </w:r>
      <w:r>
        <w:t xml:space="preserve"> per un numero totale di presenze pari a </w:t>
      </w:r>
      <w:r w:rsidR="00F173F9" w:rsidRPr="00C166D3">
        <w:rPr>
          <w:b/>
        </w:rPr>
        <w:t>209.2</w:t>
      </w:r>
      <w:r w:rsidRPr="00D76930">
        <w:rPr>
          <w:b/>
        </w:rPr>
        <w:t>milioni di ingressi</w:t>
      </w:r>
      <w:r>
        <w:t xml:space="preserve"> in sala</w:t>
      </w:r>
      <w:r w:rsidR="00F173F9">
        <w:t xml:space="preserve"> (erano 213</w:t>
      </w:r>
      <w:r w:rsidR="009A01B8">
        <w:t>mln</w:t>
      </w:r>
      <w:r w:rsidR="00F173F9">
        <w:t xml:space="preserve"> nel 2016)</w:t>
      </w:r>
      <w:r w:rsidR="00C166D3">
        <w:t xml:space="preserve"> e </w:t>
      </w:r>
      <w:r w:rsidR="00C166D3" w:rsidRPr="00C166D3">
        <w:rPr>
          <w:b/>
        </w:rPr>
        <w:t>un risultato complessivo al box office di 1.3 miliardi di €</w:t>
      </w:r>
      <w:r>
        <w:t>;</w:t>
      </w:r>
    </w:p>
    <w:p w:rsidR="003C178A" w:rsidRDefault="00C166D3" w:rsidP="006346AF">
      <w:pPr>
        <w:pStyle w:val="Paragrafoelenco"/>
        <w:numPr>
          <w:ilvl w:val="0"/>
          <w:numId w:val="8"/>
        </w:numPr>
        <w:ind w:left="360"/>
        <w:jc w:val="both"/>
      </w:pPr>
      <w:r>
        <w:t>Nonostante il calo, si tratta del terzo</w:t>
      </w:r>
      <w:r w:rsidR="003C178A">
        <w:t xml:space="preserve"> miglior risultato degli ultimi cinquant’anni, subito dopo il record stabilito nel 2011</w:t>
      </w:r>
      <w:r>
        <w:t xml:space="preserve"> e il risultato del 2016</w:t>
      </w:r>
      <w:r w:rsidR="003C178A">
        <w:t>;</w:t>
      </w:r>
    </w:p>
    <w:p w:rsidR="001515F9" w:rsidRPr="001515F9" w:rsidRDefault="001515F9" w:rsidP="006346AF">
      <w:pPr>
        <w:pStyle w:val="Paragrafoelenco"/>
        <w:numPr>
          <w:ilvl w:val="0"/>
          <w:numId w:val="8"/>
        </w:numPr>
        <w:ind w:left="360"/>
        <w:jc w:val="both"/>
      </w:pPr>
      <w:r w:rsidRPr="001515F9">
        <w:rPr>
          <w:b/>
        </w:rPr>
        <w:t>I film di nazionalità francese</w:t>
      </w:r>
      <w:r>
        <w:t xml:space="preserve"> hanno raggiunto una </w:t>
      </w:r>
      <w:r w:rsidRPr="001515F9">
        <w:rPr>
          <w:b/>
        </w:rPr>
        <w:t>quota di mercato</w:t>
      </w:r>
      <w:r>
        <w:t xml:space="preserve"> totale sull’anno pari al </w:t>
      </w:r>
      <w:r w:rsidR="00C166D3" w:rsidRPr="00C166D3">
        <w:rPr>
          <w:b/>
        </w:rPr>
        <w:t>37,40%</w:t>
      </w:r>
      <w:r w:rsidR="00C166D3">
        <w:t xml:space="preserve"> (era </w:t>
      </w:r>
      <w:r w:rsidR="00C166D3" w:rsidRPr="00C166D3">
        <w:t xml:space="preserve">del </w:t>
      </w:r>
      <w:r w:rsidRPr="00C166D3">
        <w:t>35%</w:t>
      </w:r>
      <w:r w:rsidR="00C166D3" w:rsidRPr="00C166D3">
        <w:t xml:space="preserve"> nel 2016</w:t>
      </w:r>
      <w:r w:rsidR="00C166D3">
        <w:rPr>
          <w:b/>
        </w:rPr>
        <w:t>)</w:t>
      </w:r>
      <w:r>
        <w:rPr>
          <w:b/>
        </w:rPr>
        <w:t>;</w:t>
      </w:r>
    </w:p>
    <w:p w:rsidR="006346AF" w:rsidRDefault="001515F9" w:rsidP="00C166D3">
      <w:pPr>
        <w:pStyle w:val="Paragrafoelenco"/>
        <w:numPr>
          <w:ilvl w:val="0"/>
          <w:numId w:val="8"/>
        </w:numPr>
        <w:ind w:left="360"/>
        <w:jc w:val="both"/>
      </w:pPr>
      <w:r>
        <w:t xml:space="preserve">Secondo dati forniti da ComScore, il </w:t>
      </w:r>
      <w:r w:rsidRPr="006346AF">
        <w:rPr>
          <w:b/>
        </w:rPr>
        <w:t>box office spagnolo</w:t>
      </w:r>
      <w:r>
        <w:t xml:space="preserve"> è invece </w:t>
      </w:r>
      <w:r w:rsidR="00C166D3">
        <w:rPr>
          <w:b/>
        </w:rPr>
        <w:t>diminuito di circa lo 0,70</w:t>
      </w:r>
      <w:r w:rsidRPr="006346AF">
        <w:rPr>
          <w:b/>
        </w:rPr>
        <w:t>%</w:t>
      </w:r>
      <w:r>
        <w:t xml:space="preserve"> con un incasso </w:t>
      </w:r>
      <w:r w:rsidR="00054E6D">
        <w:t xml:space="preserve">totale </w:t>
      </w:r>
      <w:r>
        <w:t xml:space="preserve">di </w:t>
      </w:r>
      <w:r w:rsidR="00C166D3">
        <w:rPr>
          <w:b/>
        </w:rPr>
        <w:t>597</w:t>
      </w:r>
      <w:r w:rsidRPr="006346AF">
        <w:rPr>
          <w:b/>
        </w:rPr>
        <w:t xml:space="preserve"> milioni di €</w:t>
      </w:r>
      <w:r>
        <w:t xml:space="preserve"> e un numero</w:t>
      </w:r>
      <w:r w:rsidR="00C166D3">
        <w:t xml:space="preserve"> di spettatori pari 99.7 milioni (-0,50% rispetto al 2016); </w:t>
      </w:r>
    </w:p>
    <w:p w:rsidR="006346AF" w:rsidRPr="00790273" w:rsidRDefault="006346AF" w:rsidP="006346AF">
      <w:pPr>
        <w:pStyle w:val="Paragrafoelenco"/>
        <w:numPr>
          <w:ilvl w:val="0"/>
          <w:numId w:val="8"/>
        </w:numPr>
        <w:ind w:left="360"/>
        <w:jc w:val="both"/>
      </w:pPr>
      <w:r>
        <w:t xml:space="preserve">Sempre secondo i dati forniti da Comscore, il </w:t>
      </w:r>
      <w:r w:rsidRPr="006346AF">
        <w:rPr>
          <w:b/>
        </w:rPr>
        <w:t>box office tedesco</w:t>
      </w:r>
      <w:r>
        <w:t xml:space="preserve"> è invece </w:t>
      </w:r>
      <w:r w:rsidR="00C166D3">
        <w:rPr>
          <w:b/>
        </w:rPr>
        <w:t>cresciuto del 3,6</w:t>
      </w:r>
      <w:r w:rsidRPr="006346AF">
        <w:rPr>
          <w:b/>
        </w:rPr>
        <w:t>%</w:t>
      </w:r>
      <w:r>
        <w:t xml:space="preserve"> per un incasso totale di </w:t>
      </w:r>
      <w:r w:rsidR="00C166D3">
        <w:rPr>
          <w:b/>
        </w:rPr>
        <w:t>995.4</w:t>
      </w:r>
      <w:r w:rsidRPr="006346AF">
        <w:rPr>
          <w:b/>
        </w:rPr>
        <w:t xml:space="preserve"> milioni di €;</w:t>
      </w:r>
    </w:p>
    <w:p w:rsidR="00DE15C2" w:rsidRDefault="00790273" w:rsidP="00DE15C2">
      <w:pPr>
        <w:pStyle w:val="Paragrafoelenco"/>
        <w:numPr>
          <w:ilvl w:val="0"/>
          <w:numId w:val="8"/>
        </w:numPr>
        <w:ind w:left="360"/>
        <w:jc w:val="both"/>
      </w:pPr>
      <w:r w:rsidRPr="00790273">
        <w:rPr>
          <w:b/>
        </w:rPr>
        <w:t>I film di produzione tedesca</w:t>
      </w:r>
      <w:r w:rsidRPr="00790273">
        <w:t xml:space="preserve"> hanno raggiunto durante l’anno una quota di mercato </w:t>
      </w:r>
      <w:r>
        <w:t>pari al</w:t>
      </w:r>
      <w:r w:rsidR="00C166D3">
        <w:t xml:space="preserve"> 25,60% (era del</w:t>
      </w:r>
      <w:r w:rsidR="00C166D3">
        <w:rPr>
          <w:b/>
        </w:rPr>
        <w:t>16</w:t>
      </w:r>
      <w:r w:rsidRPr="00790273">
        <w:rPr>
          <w:b/>
        </w:rPr>
        <w:t>%</w:t>
      </w:r>
      <w:r w:rsidR="00C166D3">
        <w:rPr>
          <w:b/>
        </w:rPr>
        <w:t xml:space="preserve"> nel 2016)</w:t>
      </w:r>
      <w:r w:rsidR="00C166D3">
        <w:t>;</w:t>
      </w:r>
    </w:p>
    <w:p w:rsidR="00BC4417" w:rsidRPr="009A01B8" w:rsidRDefault="009A01B8" w:rsidP="00BC4417">
      <w:pPr>
        <w:pStyle w:val="Paragrafoelenco"/>
        <w:numPr>
          <w:ilvl w:val="0"/>
          <w:numId w:val="8"/>
        </w:numPr>
        <w:ind w:left="360"/>
        <w:jc w:val="both"/>
      </w:pPr>
      <w:r>
        <w:rPr>
          <w:b/>
        </w:rPr>
        <w:t>Cresce anche il box office inglese con un incremento del 4.70% rispetto al 2017 (1.38 mld di £ v. 1.32mld)</w:t>
      </w:r>
      <w:r w:rsidR="00BC4417">
        <w:rPr>
          <w:b/>
        </w:rPr>
        <w:t>.</w:t>
      </w:r>
    </w:p>
    <w:tbl>
      <w:tblPr>
        <w:tblStyle w:val="Tabellaelenco3-colore11"/>
        <w:tblW w:w="8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1464"/>
        <w:gridCol w:w="1219"/>
        <w:gridCol w:w="1517"/>
        <w:gridCol w:w="2175"/>
      </w:tblGrid>
      <w:tr w:rsidR="00F173F9" w:rsidRPr="00F173F9" w:rsidTr="00C166D3">
        <w:trPr>
          <w:cnfStyle w:val="100000000000"/>
          <w:trHeight w:val="300"/>
          <w:jc w:val="center"/>
        </w:trPr>
        <w:tc>
          <w:tcPr>
            <w:cnfStyle w:val="001000000100"/>
            <w:tcW w:w="1649" w:type="dxa"/>
            <w:tcBorders>
              <w:bottom w:val="none" w:sz="0" w:space="0" w:color="auto"/>
              <w:right w:val="none" w:sz="0" w:space="0" w:color="auto"/>
            </w:tcBorders>
            <w:noWrap/>
            <w:hideMark/>
          </w:tcPr>
          <w:p w:rsidR="00F173F9" w:rsidRPr="00F173F9" w:rsidRDefault="00F173F9" w:rsidP="00F173F9">
            <w:pPr>
              <w:rPr>
                <w:rFonts w:ascii="Calibri" w:eastAsia="Times New Roman" w:hAnsi="Calibri" w:cs="Calibri"/>
                <w:color w:val="000000"/>
                <w:lang w:eastAsia="it-IT"/>
              </w:rPr>
            </w:pPr>
            <w:r w:rsidRPr="00F173F9">
              <w:rPr>
                <w:rFonts w:ascii="Calibri" w:eastAsia="Times New Roman" w:hAnsi="Calibri" w:cs="Calibri"/>
                <w:color w:val="000000"/>
                <w:lang w:eastAsia="it-IT"/>
              </w:rPr>
              <w:t> </w:t>
            </w:r>
          </w:p>
        </w:tc>
        <w:tc>
          <w:tcPr>
            <w:tcW w:w="1464" w:type="dxa"/>
            <w:noWrap/>
            <w:hideMark/>
          </w:tcPr>
          <w:p w:rsidR="00F173F9" w:rsidRPr="00F173F9" w:rsidRDefault="00F173F9" w:rsidP="00F173F9">
            <w:pPr>
              <w:cnfStyle w:val="100000000000"/>
              <w:rPr>
                <w:rFonts w:ascii="Calibri" w:eastAsia="Times New Roman" w:hAnsi="Calibri" w:cs="Calibri"/>
                <w:color w:val="000000"/>
                <w:lang w:eastAsia="it-IT"/>
              </w:rPr>
            </w:pPr>
            <w:r w:rsidRPr="00F173F9">
              <w:rPr>
                <w:rFonts w:ascii="Calibri" w:eastAsia="Times New Roman" w:hAnsi="Calibri" w:cs="Calibri"/>
                <w:color w:val="000000"/>
                <w:lang w:eastAsia="it-IT"/>
              </w:rPr>
              <w:t xml:space="preserve">GBO </w:t>
            </w:r>
          </w:p>
        </w:tc>
        <w:tc>
          <w:tcPr>
            <w:tcW w:w="1219" w:type="dxa"/>
            <w:noWrap/>
            <w:hideMark/>
          </w:tcPr>
          <w:p w:rsidR="00F173F9" w:rsidRPr="00F173F9" w:rsidRDefault="00F173F9" w:rsidP="00F173F9">
            <w:pPr>
              <w:cnfStyle w:val="100000000000"/>
              <w:rPr>
                <w:rFonts w:ascii="Calibri" w:eastAsia="Times New Roman" w:hAnsi="Calibri" w:cs="Calibri"/>
                <w:color w:val="000000"/>
                <w:lang w:eastAsia="it-IT"/>
              </w:rPr>
            </w:pPr>
            <w:r w:rsidRPr="00F173F9">
              <w:rPr>
                <w:rFonts w:ascii="Calibri" w:eastAsia="Times New Roman" w:hAnsi="Calibri" w:cs="Calibri"/>
                <w:color w:val="000000"/>
                <w:lang w:eastAsia="it-IT"/>
              </w:rPr>
              <w:t>ADM</w:t>
            </w:r>
          </w:p>
        </w:tc>
        <w:tc>
          <w:tcPr>
            <w:tcW w:w="1517" w:type="dxa"/>
            <w:noWrap/>
            <w:hideMark/>
          </w:tcPr>
          <w:p w:rsidR="00F173F9" w:rsidRPr="00F173F9" w:rsidRDefault="00F173F9" w:rsidP="00F173F9">
            <w:pPr>
              <w:cnfStyle w:val="100000000000"/>
              <w:rPr>
                <w:rFonts w:ascii="Calibri" w:eastAsia="Times New Roman" w:hAnsi="Calibri" w:cs="Calibri"/>
                <w:color w:val="000000"/>
                <w:lang w:eastAsia="it-IT"/>
              </w:rPr>
            </w:pPr>
            <w:r w:rsidRPr="00F173F9">
              <w:rPr>
                <w:rFonts w:ascii="Calibri" w:eastAsia="Times New Roman" w:hAnsi="Calibri" w:cs="Calibri"/>
                <w:color w:val="000000"/>
                <w:lang w:eastAsia="it-IT"/>
              </w:rPr>
              <w:t>Diff. % 17/16</w:t>
            </w:r>
          </w:p>
        </w:tc>
        <w:tc>
          <w:tcPr>
            <w:tcW w:w="2175" w:type="dxa"/>
            <w:noWrap/>
            <w:hideMark/>
          </w:tcPr>
          <w:p w:rsidR="00F173F9" w:rsidRPr="00F173F9" w:rsidRDefault="00F173F9" w:rsidP="00F173F9">
            <w:pPr>
              <w:cnfStyle w:val="100000000000"/>
              <w:rPr>
                <w:rFonts w:ascii="Calibri" w:eastAsia="Times New Roman" w:hAnsi="Calibri" w:cs="Calibri"/>
                <w:color w:val="000000"/>
                <w:lang w:eastAsia="it-IT"/>
              </w:rPr>
            </w:pPr>
            <w:r w:rsidRPr="00F173F9">
              <w:rPr>
                <w:rFonts w:ascii="Calibri" w:eastAsia="Times New Roman" w:hAnsi="Calibri" w:cs="Calibri"/>
                <w:color w:val="000000"/>
                <w:lang w:eastAsia="it-IT"/>
              </w:rPr>
              <w:t>Quota film nazionali</w:t>
            </w:r>
          </w:p>
        </w:tc>
      </w:tr>
      <w:tr w:rsidR="00F173F9" w:rsidRPr="00F173F9" w:rsidTr="00C166D3">
        <w:trPr>
          <w:cnfStyle w:val="000000100000"/>
          <w:trHeight w:val="300"/>
          <w:jc w:val="center"/>
        </w:trPr>
        <w:tc>
          <w:tcPr>
            <w:cnfStyle w:val="001000000000"/>
            <w:tcW w:w="1649" w:type="dxa"/>
            <w:tcBorders>
              <w:top w:val="none" w:sz="0" w:space="0" w:color="auto"/>
              <w:bottom w:val="none" w:sz="0" w:space="0" w:color="auto"/>
              <w:right w:val="none" w:sz="0" w:space="0" w:color="auto"/>
            </w:tcBorders>
            <w:noWrap/>
            <w:hideMark/>
          </w:tcPr>
          <w:p w:rsidR="00F173F9" w:rsidRPr="00F173F9" w:rsidRDefault="00F173F9" w:rsidP="00F173F9">
            <w:pPr>
              <w:rPr>
                <w:rFonts w:ascii="Calibri" w:eastAsia="Times New Roman" w:hAnsi="Calibri" w:cs="Calibri"/>
                <w:color w:val="000000"/>
                <w:lang w:eastAsia="it-IT"/>
              </w:rPr>
            </w:pPr>
            <w:r w:rsidRPr="00F173F9">
              <w:rPr>
                <w:rFonts w:ascii="Calibri" w:eastAsia="Times New Roman" w:hAnsi="Calibri" w:cs="Calibri"/>
                <w:color w:val="000000"/>
                <w:lang w:eastAsia="it-IT"/>
              </w:rPr>
              <w:t>Francia</w:t>
            </w:r>
          </w:p>
        </w:tc>
        <w:tc>
          <w:tcPr>
            <w:tcW w:w="1464" w:type="dxa"/>
            <w:tcBorders>
              <w:top w:val="none" w:sz="0" w:space="0" w:color="auto"/>
              <w:bottom w:val="none" w:sz="0" w:space="0" w:color="auto"/>
            </w:tcBorders>
            <w:noWrap/>
            <w:hideMark/>
          </w:tcPr>
          <w:p w:rsidR="00F173F9" w:rsidRPr="00F173F9" w:rsidRDefault="00C166D3" w:rsidP="00F173F9">
            <w:pPr>
              <w:jc w:val="center"/>
              <w:cnfStyle w:val="000000100000"/>
              <w:rPr>
                <w:rFonts w:ascii="Calibri" w:eastAsia="Times New Roman" w:hAnsi="Calibri" w:cs="Calibri"/>
                <w:color w:val="000000"/>
                <w:lang w:eastAsia="it-IT"/>
              </w:rPr>
            </w:pPr>
            <w:r>
              <w:rPr>
                <w:rFonts w:ascii="Calibri" w:eastAsia="Times New Roman" w:hAnsi="Calibri" w:cs="Calibri"/>
                <w:color w:val="000000"/>
                <w:lang w:eastAsia="it-IT"/>
              </w:rPr>
              <w:t>1.3mld (€)</w:t>
            </w:r>
          </w:p>
        </w:tc>
        <w:tc>
          <w:tcPr>
            <w:tcW w:w="1219" w:type="dxa"/>
            <w:tcBorders>
              <w:top w:val="none" w:sz="0" w:space="0" w:color="auto"/>
              <w:bottom w:val="none" w:sz="0" w:space="0" w:color="auto"/>
            </w:tcBorders>
            <w:noWrap/>
            <w:hideMark/>
          </w:tcPr>
          <w:p w:rsidR="00F173F9" w:rsidRPr="00F173F9" w:rsidRDefault="00F173F9" w:rsidP="00F173F9">
            <w:pPr>
              <w:jc w:val="center"/>
              <w:cnfStyle w:val="000000100000"/>
              <w:rPr>
                <w:rFonts w:ascii="Calibri" w:eastAsia="Times New Roman" w:hAnsi="Calibri" w:cs="Calibri"/>
                <w:color w:val="000000"/>
                <w:lang w:eastAsia="it-IT"/>
              </w:rPr>
            </w:pPr>
            <w:r w:rsidRPr="00F173F9">
              <w:rPr>
                <w:rFonts w:ascii="Calibri" w:eastAsia="Times New Roman" w:hAnsi="Calibri" w:cs="Calibri"/>
                <w:color w:val="000000"/>
                <w:lang w:eastAsia="it-IT"/>
              </w:rPr>
              <w:t>209.2 mln</w:t>
            </w:r>
          </w:p>
        </w:tc>
        <w:tc>
          <w:tcPr>
            <w:tcW w:w="1517" w:type="dxa"/>
            <w:tcBorders>
              <w:top w:val="none" w:sz="0" w:space="0" w:color="auto"/>
              <w:bottom w:val="none" w:sz="0" w:space="0" w:color="auto"/>
            </w:tcBorders>
            <w:noWrap/>
            <w:hideMark/>
          </w:tcPr>
          <w:p w:rsidR="00F173F9" w:rsidRPr="00F173F9" w:rsidRDefault="00F173F9" w:rsidP="00F173F9">
            <w:pPr>
              <w:jc w:val="center"/>
              <w:cnfStyle w:val="000000100000"/>
              <w:rPr>
                <w:rFonts w:ascii="Calibri" w:eastAsia="Times New Roman" w:hAnsi="Calibri" w:cs="Calibri"/>
                <w:color w:val="FF0000"/>
                <w:lang w:eastAsia="it-IT"/>
              </w:rPr>
            </w:pPr>
            <w:r w:rsidRPr="00F173F9">
              <w:rPr>
                <w:rFonts w:ascii="Calibri" w:eastAsia="Times New Roman" w:hAnsi="Calibri" w:cs="Calibri"/>
                <w:color w:val="FF0000"/>
                <w:lang w:eastAsia="it-IT"/>
              </w:rPr>
              <w:t>-2%</w:t>
            </w:r>
            <w:r>
              <w:rPr>
                <w:rFonts w:ascii="Calibri" w:eastAsia="Times New Roman" w:hAnsi="Calibri" w:cs="Calibri"/>
                <w:color w:val="FF0000"/>
                <w:lang w:eastAsia="it-IT"/>
              </w:rPr>
              <w:t xml:space="preserve"> (ADM)</w:t>
            </w:r>
          </w:p>
        </w:tc>
        <w:tc>
          <w:tcPr>
            <w:tcW w:w="2175" w:type="dxa"/>
            <w:tcBorders>
              <w:top w:val="none" w:sz="0" w:space="0" w:color="auto"/>
              <w:bottom w:val="none" w:sz="0" w:space="0" w:color="auto"/>
            </w:tcBorders>
            <w:noWrap/>
            <w:hideMark/>
          </w:tcPr>
          <w:p w:rsidR="00F173F9" w:rsidRPr="00F173F9" w:rsidRDefault="00F173F9" w:rsidP="00F173F9">
            <w:pPr>
              <w:jc w:val="center"/>
              <w:cnfStyle w:val="000000100000"/>
              <w:rPr>
                <w:rFonts w:ascii="Calibri" w:eastAsia="Times New Roman" w:hAnsi="Calibri" w:cs="Calibri"/>
                <w:color w:val="000000"/>
                <w:lang w:eastAsia="it-IT"/>
              </w:rPr>
            </w:pPr>
            <w:r w:rsidRPr="00F173F9">
              <w:rPr>
                <w:rFonts w:ascii="Calibri" w:eastAsia="Times New Roman" w:hAnsi="Calibri" w:cs="Calibri"/>
                <w:color w:val="000000"/>
                <w:lang w:eastAsia="it-IT"/>
              </w:rPr>
              <w:t>37,40%</w:t>
            </w:r>
          </w:p>
        </w:tc>
      </w:tr>
      <w:tr w:rsidR="00F173F9" w:rsidRPr="00F173F9" w:rsidTr="00C166D3">
        <w:trPr>
          <w:trHeight w:val="300"/>
          <w:jc w:val="center"/>
        </w:trPr>
        <w:tc>
          <w:tcPr>
            <w:cnfStyle w:val="001000000000"/>
            <w:tcW w:w="1649" w:type="dxa"/>
            <w:tcBorders>
              <w:right w:val="none" w:sz="0" w:space="0" w:color="auto"/>
            </w:tcBorders>
            <w:noWrap/>
            <w:hideMark/>
          </w:tcPr>
          <w:p w:rsidR="00F173F9" w:rsidRPr="00F173F9" w:rsidRDefault="00F173F9" w:rsidP="00F173F9">
            <w:pPr>
              <w:rPr>
                <w:rFonts w:ascii="Calibri" w:eastAsia="Times New Roman" w:hAnsi="Calibri" w:cs="Calibri"/>
                <w:color w:val="000000"/>
                <w:lang w:eastAsia="it-IT"/>
              </w:rPr>
            </w:pPr>
            <w:r w:rsidRPr="00F173F9">
              <w:rPr>
                <w:rFonts w:ascii="Calibri" w:eastAsia="Times New Roman" w:hAnsi="Calibri" w:cs="Calibri"/>
                <w:color w:val="000000"/>
                <w:lang w:eastAsia="it-IT"/>
              </w:rPr>
              <w:lastRenderedPageBreak/>
              <w:t>Germania</w:t>
            </w:r>
          </w:p>
        </w:tc>
        <w:tc>
          <w:tcPr>
            <w:tcW w:w="1464" w:type="dxa"/>
            <w:noWrap/>
            <w:hideMark/>
          </w:tcPr>
          <w:p w:rsidR="00F173F9" w:rsidRPr="00F173F9" w:rsidRDefault="00C166D3" w:rsidP="00F173F9">
            <w:pPr>
              <w:jc w:val="center"/>
              <w:cnfStyle w:val="000000000000"/>
              <w:rPr>
                <w:rFonts w:ascii="Calibri" w:eastAsia="Times New Roman" w:hAnsi="Calibri" w:cs="Calibri"/>
                <w:color w:val="000000"/>
                <w:lang w:eastAsia="it-IT"/>
              </w:rPr>
            </w:pPr>
            <w:r>
              <w:rPr>
                <w:rFonts w:ascii="Calibri" w:eastAsia="Times New Roman" w:hAnsi="Calibri" w:cs="Calibri"/>
                <w:color w:val="000000"/>
                <w:lang w:eastAsia="it-IT"/>
              </w:rPr>
              <w:t>995.4mln</w:t>
            </w:r>
            <w:r w:rsidR="00F173F9" w:rsidRPr="00F173F9">
              <w:rPr>
                <w:rFonts w:ascii="Calibri" w:eastAsia="Times New Roman" w:hAnsi="Calibri" w:cs="Calibri"/>
                <w:color w:val="000000"/>
                <w:lang w:eastAsia="it-IT"/>
              </w:rPr>
              <w:t xml:space="preserve"> (€)</w:t>
            </w:r>
          </w:p>
        </w:tc>
        <w:tc>
          <w:tcPr>
            <w:tcW w:w="1219" w:type="dxa"/>
            <w:noWrap/>
            <w:hideMark/>
          </w:tcPr>
          <w:p w:rsidR="00F173F9" w:rsidRPr="00F173F9" w:rsidRDefault="00C166D3" w:rsidP="00F173F9">
            <w:pPr>
              <w:jc w:val="center"/>
              <w:cnfStyle w:val="000000000000"/>
              <w:rPr>
                <w:rFonts w:ascii="Calibri" w:eastAsia="Times New Roman" w:hAnsi="Calibri" w:cs="Calibri"/>
                <w:color w:val="000000"/>
                <w:lang w:eastAsia="it-IT"/>
              </w:rPr>
            </w:pPr>
            <w:r>
              <w:rPr>
                <w:rFonts w:ascii="Calibri" w:eastAsia="Times New Roman" w:hAnsi="Calibri" w:cs="Calibri"/>
                <w:color w:val="000000"/>
                <w:lang w:eastAsia="it-IT"/>
              </w:rPr>
              <w:t>113.7</w:t>
            </w:r>
            <w:r w:rsidR="00F173F9" w:rsidRPr="00F173F9">
              <w:rPr>
                <w:rFonts w:ascii="Calibri" w:eastAsia="Times New Roman" w:hAnsi="Calibri" w:cs="Calibri"/>
                <w:color w:val="000000"/>
                <w:lang w:eastAsia="it-IT"/>
              </w:rPr>
              <w:t>mln</w:t>
            </w:r>
          </w:p>
        </w:tc>
        <w:tc>
          <w:tcPr>
            <w:tcW w:w="1517" w:type="dxa"/>
            <w:noWrap/>
            <w:hideMark/>
          </w:tcPr>
          <w:p w:rsidR="00F173F9" w:rsidRPr="00F173F9" w:rsidRDefault="009A01B8" w:rsidP="00F173F9">
            <w:pPr>
              <w:jc w:val="center"/>
              <w:cnfStyle w:val="000000000000"/>
              <w:rPr>
                <w:rFonts w:ascii="Calibri" w:eastAsia="Times New Roman" w:hAnsi="Calibri" w:cs="Calibri"/>
                <w:color w:val="1F497D"/>
                <w:lang w:eastAsia="it-IT"/>
              </w:rPr>
            </w:pPr>
            <w:r>
              <w:rPr>
                <w:rFonts w:ascii="Calibri" w:eastAsia="Times New Roman" w:hAnsi="Calibri" w:cs="Calibri"/>
                <w:color w:val="1F497D"/>
                <w:lang w:eastAsia="it-IT"/>
              </w:rPr>
              <w:t>+</w:t>
            </w:r>
            <w:r w:rsidR="00C166D3">
              <w:rPr>
                <w:rFonts w:ascii="Calibri" w:eastAsia="Times New Roman" w:hAnsi="Calibri" w:cs="Calibri"/>
                <w:color w:val="1F497D"/>
                <w:lang w:eastAsia="it-IT"/>
              </w:rPr>
              <w:t>3,60</w:t>
            </w:r>
            <w:r w:rsidR="00F173F9" w:rsidRPr="00F173F9">
              <w:rPr>
                <w:rFonts w:ascii="Calibri" w:eastAsia="Times New Roman" w:hAnsi="Calibri" w:cs="Calibri"/>
                <w:color w:val="1F497D"/>
                <w:lang w:eastAsia="it-IT"/>
              </w:rPr>
              <w:t>%</w:t>
            </w:r>
            <w:r w:rsidR="00F173F9">
              <w:rPr>
                <w:rFonts w:ascii="Calibri" w:eastAsia="Times New Roman" w:hAnsi="Calibri" w:cs="Calibri"/>
                <w:color w:val="1F497D"/>
                <w:lang w:eastAsia="it-IT"/>
              </w:rPr>
              <w:t xml:space="preserve"> (GBO)</w:t>
            </w:r>
          </w:p>
        </w:tc>
        <w:tc>
          <w:tcPr>
            <w:tcW w:w="2175" w:type="dxa"/>
            <w:noWrap/>
            <w:hideMark/>
          </w:tcPr>
          <w:p w:rsidR="00F173F9" w:rsidRPr="00F173F9" w:rsidRDefault="00F173F9" w:rsidP="00F173F9">
            <w:pPr>
              <w:jc w:val="center"/>
              <w:cnfStyle w:val="000000000000"/>
              <w:rPr>
                <w:rFonts w:ascii="Calibri" w:eastAsia="Times New Roman" w:hAnsi="Calibri" w:cs="Calibri"/>
                <w:color w:val="000000"/>
                <w:lang w:eastAsia="it-IT"/>
              </w:rPr>
            </w:pPr>
            <w:r w:rsidRPr="00F173F9">
              <w:rPr>
                <w:rFonts w:ascii="Calibri" w:eastAsia="Times New Roman" w:hAnsi="Calibri" w:cs="Calibri"/>
                <w:color w:val="000000"/>
                <w:lang w:eastAsia="it-IT"/>
              </w:rPr>
              <w:t>25,60%</w:t>
            </w:r>
          </w:p>
        </w:tc>
      </w:tr>
      <w:tr w:rsidR="00F173F9" w:rsidRPr="00F173F9" w:rsidTr="00C166D3">
        <w:trPr>
          <w:cnfStyle w:val="000000100000"/>
          <w:trHeight w:val="300"/>
          <w:jc w:val="center"/>
        </w:trPr>
        <w:tc>
          <w:tcPr>
            <w:cnfStyle w:val="001000000000"/>
            <w:tcW w:w="1649" w:type="dxa"/>
            <w:tcBorders>
              <w:top w:val="none" w:sz="0" w:space="0" w:color="auto"/>
              <w:bottom w:val="none" w:sz="0" w:space="0" w:color="auto"/>
              <w:right w:val="none" w:sz="0" w:space="0" w:color="auto"/>
            </w:tcBorders>
            <w:noWrap/>
            <w:hideMark/>
          </w:tcPr>
          <w:p w:rsidR="00F173F9" w:rsidRPr="00F173F9" w:rsidRDefault="00F173F9" w:rsidP="00F173F9">
            <w:pPr>
              <w:rPr>
                <w:rFonts w:ascii="Calibri" w:eastAsia="Times New Roman" w:hAnsi="Calibri" w:cs="Calibri"/>
                <w:color w:val="000000"/>
                <w:lang w:eastAsia="it-IT"/>
              </w:rPr>
            </w:pPr>
            <w:r w:rsidRPr="00F173F9">
              <w:rPr>
                <w:rFonts w:ascii="Calibri" w:eastAsia="Times New Roman" w:hAnsi="Calibri" w:cs="Calibri"/>
                <w:color w:val="000000"/>
                <w:lang w:eastAsia="it-IT"/>
              </w:rPr>
              <w:t>Gran Bretagna</w:t>
            </w:r>
          </w:p>
        </w:tc>
        <w:tc>
          <w:tcPr>
            <w:tcW w:w="1464" w:type="dxa"/>
            <w:tcBorders>
              <w:top w:val="none" w:sz="0" w:space="0" w:color="auto"/>
              <w:bottom w:val="none" w:sz="0" w:space="0" w:color="auto"/>
            </w:tcBorders>
            <w:noWrap/>
            <w:hideMark/>
          </w:tcPr>
          <w:p w:rsidR="00F173F9" w:rsidRPr="00F173F9" w:rsidRDefault="009A01B8" w:rsidP="00F173F9">
            <w:pPr>
              <w:jc w:val="center"/>
              <w:cnfStyle w:val="000000100000"/>
              <w:rPr>
                <w:rFonts w:ascii="Calibri" w:eastAsia="Times New Roman" w:hAnsi="Calibri" w:cs="Calibri"/>
                <w:color w:val="000000"/>
                <w:lang w:eastAsia="it-IT"/>
              </w:rPr>
            </w:pPr>
            <w:r>
              <w:rPr>
                <w:rFonts w:ascii="Calibri" w:eastAsia="Times New Roman" w:hAnsi="Calibri" w:cs="Calibri"/>
                <w:color w:val="000000"/>
                <w:lang w:eastAsia="it-IT"/>
              </w:rPr>
              <w:t>1.3</w:t>
            </w:r>
            <w:r w:rsidR="00F173F9" w:rsidRPr="00F173F9">
              <w:rPr>
                <w:rFonts w:ascii="Calibri" w:eastAsia="Times New Roman" w:hAnsi="Calibri" w:cs="Calibri"/>
                <w:color w:val="000000"/>
                <w:lang w:eastAsia="it-IT"/>
              </w:rPr>
              <w:t>mld (£)</w:t>
            </w:r>
          </w:p>
        </w:tc>
        <w:tc>
          <w:tcPr>
            <w:tcW w:w="1219" w:type="dxa"/>
            <w:tcBorders>
              <w:top w:val="none" w:sz="0" w:space="0" w:color="auto"/>
              <w:bottom w:val="none" w:sz="0" w:space="0" w:color="auto"/>
            </w:tcBorders>
            <w:noWrap/>
            <w:hideMark/>
          </w:tcPr>
          <w:p w:rsidR="00F173F9" w:rsidRPr="00F173F9" w:rsidRDefault="00F173F9" w:rsidP="00F173F9">
            <w:pPr>
              <w:jc w:val="center"/>
              <w:cnfStyle w:val="000000100000"/>
              <w:rPr>
                <w:rFonts w:ascii="Calibri" w:eastAsia="Times New Roman" w:hAnsi="Calibri" w:cs="Calibri"/>
                <w:color w:val="000000"/>
                <w:lang w:eastAsia="it-IT"/>
              </w:rPr>
            </w:pPr>
          </w:p>
        </w:tc>
        <w:tc>
          <w:tcPr>
            <w:tcW w:w="1517" w:type="dxa"/>
            <w:tcBorders>
              <w:top w:val="none" w:sz="0" w:space="0" w:color="auto"/>
              <w:bottom w:val="none" w:sz="0" w:space="0" w:color="auto"/>
            </w:tcBorders>
            <w:noWrap/>
            <w:hideMark/>
          </w:tcPr>
          <w:p w:rsidR="00F173F9" w:rsidRPr="00F173F9" w:rsidRDefault="009A01B8" w:rsidP="00F173F9">
            <w:pPr>
              <w:jc w:val="center"/>
              <w:cnfStyle w:val="000000100000"/>
              <w:rPr>
                <w:rFonts w:ascii="Calibri" w:eastAsia="Times New Roman" w:hAnsi="Calibri" w:cs="Calibri"/>
                <w:color w:val="1F497D"/>
                <w:lang w:eastAsia="it-IT"/>
              </w:rPr>
            </w:pPr>
            <w:r>
              <w:rPr>
                <w:rFonts w:ascii="Calibri" w:eastAsia="Times New Roman" w:hAnsi="Calibri" w:cs="Calibri"/>
                <w:color w:val="1F497D"/>
                <w:lang w:eastAsia="it-IT"/>
              </w:rPr>
              <w:t>+4,70</w:t>
            </w:r>
            <w:r w:rsidR="00F173F9" w:rsidRPr="00F173F9">
              <w:rPr>
                <w:rFonts w:ascii="Calibri" w:eastAsia="Times New Roman" w:hAnsi="Calibri" w:cs="Calibri"/>
                <w:color w:val="1F497D"/>
                <w:lang w:eastAsia="it-IT"/>
              </w:rPr>
              <w:t>%</w:t>
            </w:r>
            <w:r w:rsidR="00F173F9">
              <w:rPr>
                <w:rFonts w:ascii="Calibri" w:eastAsia="Times New Roman" w:hAnsi="Calibri" w:cs="Calibri"/>
                <w:color w:val="1F497D"/>
                <w:lang w:eastAsia="it-IT"/>
              </w:rPr>
              <w:t xml:space="preserve"> (GBO)</w:t>
            </w:r>
          </w:p>
        </w:tc>
        <w:tc>
          <w:tcPr>
            <w:tcW w:w="2175" w:type="dxa"/>
            <w:tcBorders>
              <w:top w:val="none" w:sz="0" w:space="0" w:color="auto"/>
              <w:bottom w:val="none" w:sz="0" w:space="0" w:color="auto"/>
            </w:tcBorders>
            <w:noWrap/>
            <w:hideMark/>
          </w:tcPr>
          <w:p w:rsidR="00F173F9" w:rsidRPr="00F173F9" w:rsidRDefault="00F173F9" w:rsidP="00F173F9">
            <w:pPr>
              <w:jc w:val="center"/>
              <w:cnfStyle w:val="000000100000"/>
              <w:rPr>
                <w:rFonts w:ascii="Calibri" w:eastAsia="Times New Roman" w:hAnsi="Calibri" w:cs="Calibri"/>
                <w:color w:val="000000"/>
                <w:lang w:eastAsia="it-IT"/>
              </w:rPr>
            </w:pPr>
          </w:p>
        </w:tc>
      </w:tr>
      <w:tr w:rsidR="00F173F9" w:rsidRPr="00F173F9" w:rsidTr="00C166D3">
        <w:trPr>
          <w:trHeight w:val="300"/>
          <w:jc w:val="center"/>
        </w:trPr>
        <w:tc>
          <w:tcPr>
            <w:cnfStyle w:val="001000000000"/>
            <w:tcW w:w="1649" w:type="dxa"/>
            <w:tcBorders>
              <w:right w:val="none" w:sz="0" w:space="0" w:color="auto"/>
            </w:tcBorders>
            <w:noWrap/>
            <w:hideMark/>
          </w:tcPr>
          <w:p w:rsidR="00F173F9" w:rsidRPr="00F173F9" w:rsidRDefault="00F173F9" w:rsidP="00F173F9">
            <w:pPr>
              <w:rPr>
                <w:rFonts w:ascii="Calibri" w:eastAsia="Times New Roman" w:hAnsi="Calibri" w:cs="Calibri"/>
                <w:color w:val="000000"/>
                <w:lang w:eastAsia="it-IT"/>
              </w:rPr>
            </w:pPr>
            <w:r w:rsidRPr="00F173F9">
              <w:rPr>
                <w:rFonts w:ascii="Calibri" w:eastAsia="Times New Roman" w:hAnsi="Calibri" w:cs="Calibri"/>
                <w:color w:val="000000"/>
                <w:lang w:eastAsia="it-IT"/>
              </w:rPr>
              <w:t>Spagna</w:t>
            </w:r>
          </w:p>
        </w:tc>
        <w:tc>
          <w:tcPr>
            <w:tcW w:w="1464" w:type="dxa"/>
            <w:noWrap/>
            <w:hideMark/>
          </w:tcPr>
          <w:p w:rsidR="00F173F9" w:rsidRPr="00F173F9" w:rsidRDefault="00F173F9" w:rsidP="00F173F9">
            <w:pPr>
              <w:jc w:val="center"/>
              <w:cnfStyle w:val="000000000000"/>
              <w:rPr>
                <w:rFonts w:ascii="Calibri" w:eastAsia="Times New Roman" w:hAnsi="Calibri" w:cs="Calibri"/>
                <w:color w:val="000000"/>
                <w:lang w:eastAsia="it-IT"/>
              </w:rPr>
            </w:pPr>
            <w:r w:rsidRPr="00F173F9">
              <w:rPr>
                <w:rFonts w:ascii="Calibri" w:eastAsia="Times New Roman" w:hAnsi="Calibri" w:cs="Calibri"/>
                <w:color w:val="000000"/>
                <w:lang w:eastAsia="it-IT"/>
              </w:rPr>
              <w:t>597mln (€)</w:t>
            </w:r>
          </w:p>
        </w:tc>
        <w:tc>
          <w:tcPr>
            <w:tcW w:w="1219" w:type="dxa"/>
            <w:noWrap/>
            <w:hideMark/>
          </w:tcPr>
          <w:p w:rsidR="00F173F9" w:rsidRPr="00F173F9" w:rsidRDefault="00F173F9" w:rsidP="00F173F9">
            <w:pPr>
              <w:jc w:val="center"/>
              <w:cnfStyle w:val="000000000000"/>
              <w:rPr>
                <w:rFonts w:ascii="Calibri" w:eastAsia="Times New Roman" w:hAnsi="Calibri" w:cs="Calibri"/>
                <w:color w:val="000000"/>
                <w:lang w:eastAsia="it-IT"/>
              </w:rPr>
            </w:pPr>
            <w:r w:rsidRPr="00F173F9">
              <w:rPr>
                <w:rFonts w:ascii="Calibri" w:eastAsia="Times New Roman" w:hAnsi="Calibri" w:cs="Calibri"/>
                <w:color w:val="000000"/>
                <w:lang w:eastAsia="it-IT"/>
              </w:rPr>
              <w:t>99.7mln</w:t>
            </w:r>
          </w:p>
        </w:tc>
        <w:tc>
          <w:tcPr>
            <w:tcW w:w="1517" w:type="dxa"/>
            <w:noWrap/>
            <w:hideMark/>
          </w:tcPr>
          <w:p w:rsidR="00F173F9" w:rsidRPr="00F173F9" w:rsidRDefault="00F173F9" w:rsidP="00F173F9">
            <w:pPr>
              <w:jc w:val="center"/>
              <w:cnfStyle w:val="000000000000"/>
              <w:rPr>
                <w:rFonts w:ascii="Calibri" w:eastAsia="Times New Roman" w:hAnsi="Calibri" w:cs="Calibri"/>
                <w:color w:val="FF0000"/>
                <w:lang w:eastAsia="it-IT"/>
              </w:rPr>
            </w:pPr>
            <w:r w:rsidRPr="00F173F9">
              <w:rPr>
                <w:rFonts w:ascii="Calibri" w:eastAsia="Times New Roman" w:hAnsi="Calibri" w:cs="Calibri"/>
                <w:color w:val="FF0000"/>
                <w:lang w:eastAsia="it-IT"/>
              </w:rPr>
              <w:t>-0,70%</w:t>
            </w:r>
            <w:r>
              <w:rPr>
                <w:rFonts w:ascii="Calibri" w:eastAsia="Times New Roman" w:hAnsi="Calibri" w:cs="Calibri"/>
                <w:color w:val="FF0000"/>
                <w:lang w:eastAsia="it-IT"/>
              </w:rPr>
              <w:t xml:space="preserve"> (GBO)</w:t>
            </w:r>
          </w:p>
        </w:tc>
        <w:tc>
          <w:tcPr>
            <w:tcW w:w="2175" w:type="dxa"/>
            <w:noWrap/>
            <w:hideMark/>
          </w:tcPr>
          <w:p w:rsidR="00F173F9" w:rsidRPr="00F173F9" w:rsidRDefault="00F173F9" w:rsidP="00F173F9">
            <w:pPr>
              <w:jc w:val="center"/>
              <w:cnfStyle w:val="000000000000"/>
              <w:rPr>
                <w:rFonts w:ascii="Calibri" w:eastAsia="Times New Roman" w:hAnsi="Calibri" w:cs="Calibri"/>
                <w:color w:val="000000"/>
                <w:lang w:eastAsia="it-IT"/>
              </w:rPr>
            </w:pPr>
          </w:p>
        </w:tc>
      </w:tr>
    </w:tbl>
    <w:p w:rsidR="00CD2675" w:rsidRPr="00BC4417" w:rsidRDefault="00BC4417" w:rsidP="00BC4417">
      <w:pPr>
        <w:ind w:left="708"/>
        <w:rPr>
          <w:sz w:val="20"/>
          <w:szCs w:val="20"/>
        </w:rPr>
      </w:pPr>
      <w:r w:rsidRPr="00BC4417">
        <w:rPr>
          <w:sz w:val="20"/>
          <w:szCs w:val="20"/>
        </w:rPr>
        <w:t>Fonte: ComScore</w:t>
      </w:r>
    </w:p>
    <w:sectPr w:rsidR="00CD2675" w:rsidRPr="00BC4417" w:rsidSect="002C53E2">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E8B" w:rsidRDefault="00944E8B" w:rsidP="006931BA">
      <w:pPr>
        <w:spacing w:after="0" w:line="240" w:lineRule="auto"/>
      </w:pPr>
      <w:r>
        <w:separator/>
      </w:r>
    </w:p>
  </w:endnote>
  <w:endnote w:type="continuationSeparator" w:id="1">
    <w:p w:rsidR="00944E8B" w:rsidRDefault="00944E8B" w:rsidP="00693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3368705"/>
      <w:docPartObj>
        <w:docPartGallery w:val="Page Numbers (Bottom of Page)"/>
        <w:docPartUnique/>
      </w:docPartObj>
    </w:sdtPr>
    <w:sdtContent>
      <w:p w:rsidR="005A4E9B" w:rsidRDefault="00DE108A">
        <w:pPr>
          <w:pStyle w:val="Pidipagina"/>
          <w:jc w:val="center"/>
        </w:pPr>
        <w:r>
          <w:fldChar w:fldCharType="begin"/>
        </w:r>
        <w:r w:rsidR="004C1BAB">
          <w:instrText>PAGE   \* MERGEFORMAT</w:instrText>
        </w:r>
        <w:r>
          <w:fldChar w:fldCharType="separate"/>
        </w:r>
        <w:r w:rsidR="00F24714">
          <w:rPr>
            <w:noProof/>
          </w:rPr>
          <w:t>6</w:t>
        </w:r>
        <w:r>
          <w:rPr>
            <w:noProof/>
          </w:rPr>
          <w:fldChar w:fldCharType="end"/>
        </w:r>
      </w:p>
    </w:sdtContent>
  </w:sdt>
  <w:p w:rsidR="005A4E9B" w:rsidRDefault="005A4E9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E8B" w:rsidRDefault="00944E8B" w:rsidP="006931BA">
      <w:pPr>
        <w:spacing w:after="0" w:line="240" w:lineRule="auto"/>
      </w:pPr>
      <w:r>
        <w:separator/>
      </w:r>
    </w:p>
  </w:footnote>
  <w:footnote w:type="continuationSeparator" w:id="1">
    <w:p w:rsidR="00944E8B" w:rsidRDefault="00944E8B" w:rsidP="006931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334E8"/>
    <w:multiLevelType w:val="hybridMultilevel"/>
    <w:tmpl w:val="DF1CF5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02D57F9"/>
    <w:multiLevelType w:val="hybridMultilevel"/>
    <w:tmpl w:val="7FA667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E44463F"/>
    <w:multiLevelType w:val="hybridMultilevel"/>
    <w:tmpl w:val="1EE8E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0D6730A"/>
    <w:multiLevelType w:val="hybridMultilevel"/>
    <w:tmpl w:val="3F8C46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9030F8F"/>
    <w:multiLevelType w:val="hybridMultilevel"/>
    <w:tmpl w:val="22FA5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4647B6"/>
    <w:multiLevelType w:val="hybridMultilevel"/>
    <w:tmpl w:val="B0E27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C3B4F6B"/>
    <w:multiLevelType w:val="hybridMultilevel"/>
    <w:tmpl w:val="E5DE0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936856"/>
    <w:multiLevelType w:val="hybridMultilevel"/>
    <w:tmpl w:val="D466D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8FC302D"/>
    <w:multiLevelType w:val="hybridMultilevel"/>
    <w:tmpl w:val="D2F0C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9752B0"/>
    <w:multiLevelType w:val="hybridMultilevel"/>
    <w:tmpl w:val="6B32F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5"/>
  </w:num>
  <w:num w:numId="6">
    <w:abstractNumId w:val="0"/>
  </w:num>
  <w:num w:numId="7">
    <w:abstractNumId w:val="7"/>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81739"/>
    <w:rsid w:val="000042FC"/>
    <w:rsid w:val="000252EF"/>
    <w:rsid w:val="00030435"/>
    <w:rsid w:val="00054E6D"/>
    <w:rsid w:val="00081739"/>
    <w:rsid w:val="0009286C"/>
    <w:rsid w:val="00094133"/>
    <w:rsid w:val="00094F92"/>
    <w:rsid w:val="000C7B64"/>
    <w:rsid w:val="000D503A"/>
    <w:rsid w:val="000E2D9A"/>
    <w:rsid w:val="000E3A67"/>
    <w:rsid w:val="00100E81"/>
    <w:rsid w:val="00105417"/>
    <w:rsid w:val="0012021D"/>
    <w:rsid w:val="00123E5E"/>
    <w:rsid w:val="001515F9"/>
    <w:rsid w:val="001666C9"/>
    <w:rsid w:val="0021534F"/>
    <w:rsid w:val="00285BE0"/>
    <w:rsid w:val="002C4458"/>
    <w:rsid w:val="002C53E2"/>
    <w:rsid w:val="003056F7"/>
    <w:rsid w:val="003122D0"/>
    <w:rsid w:val="003172D8"/>
    <w:rsid w:val="00352553"/>
    <w:rsid w:val="00367D27"/>
    <w:rsid w:val="00385AE6"/>
    <w:rsid w:val="00386B78"/>
    <w:rsid w:val="003C178A"/>
    <w:rsid w:val="003D230D"/>
    <w:rsid w:val="003E0785"/>
    <w:rsid w:val="0041411D"/>
    <w:rsid w:val="004172C0"/>
    <w:rsid w:val="00437B9E"/>
    <w:rsid w:val="00445EAF"/>
    <w:rsid w:val="00470CF7"/>
    <w:rsid w:val="004C1BAB"/>
    <w:rsid w:val="004F69D5"/>
    <w:rsid w:val="004F74D3"/>
    <w:rsid w:val="00500564"/>
    <w:rsid w:val="00503D0C"/>
    <w:rsid w:val="005212E7"/>
    <w:rsid w:val="00542985"/>
    <w:rsid w:val="00544CF9"/>
    <w:rsid w:val="00590BE5"/>
    <w:rsid w:val="005A4E9B"/>
    <w:rsid w:val="005C16E3"/>
    <w:rsid w:val="005C303D"/>
    <w:rsid w:val="005C49FE"/>
    <w:rsid w:val="005D0BA7"/>
    <w:rsid w:val="005D2DEE"/>
    <w:rsid w:val="005D3E12"/>
    <w:rsid w:val="00606B93"/>
    <w:rsid w:val="006204CB"/>
    <w:rsid w:val="00622BE1"/>
    <w:rsid w:val="0062713E"/>
    <w:rsid w:val="00632A83"/>
    <w:rsid w:val="006346AF"/>
    <w:rsid w:val="0065450D"/>
    <w:rsid w:val="006931BA"/>
    <w:rsid w:val="006B7DF2"/>
    <w:rsid w:val="00752E22"/>
    <w:rsid w:val="00757944"/>
    <w:rsid w:val="00790273"/>
    <w:rsid w:val="007D588F"/>
    <w:rsid w:val="0080689C"/>
    <w:rsid w:val="0082688B"/>
    <w:rsid w:val="00833671"/>
    <w:rsid w:val="00843BE6"/>
    <w:rsid w:val="00852FB4"/>
    <w:rsid w:val="00860701"/>
    <w:rsid w:val="008628D3"/>
    <w:rsid w:val="008752CC"/>
    <w:rsid w:val="00891B9D"/>
    <w:rsid w:val="009216DF"/>
    <w:rsid w:val="00944E8B"/>
    <w:rsid w:val="00960A5D"/>
    <w:rsid w:val="009736EC"/>
    <w:rsid w:val="009A01B8"/>
    <w:rsid w:val="009C7E39"/>
    <w:rsid w:val="009F49AE"/>
    <w:rsid w:val="00A34720"/>
    <w:rsid w:val="00B153C2"/>
    <w:rsid w:val="00B61EE1"/>
    <w:rsid w:val="00B9034D"/>
    <w:rsid w:val="00B96978"/>
    <w:rsid w:val="00BA1915"/>
    <w:rsid w:val="00BA2A2E"/>
    <w:rsid w:val="00BB673D"/>
    <w:rsid w:val="00BC4417"/>
    <w:rsid w:val="00C1342C"/>
    <w:rsid w:val="00C166D3"/>
    <w:rsid w:val="00C31382"/>
    <w:rsid w:val="00C50D18"/>
    <w:rsid w:val="00C61400"/>
    <w:rsid w:val="00C95526"/>
    <w:rsid w:val="00C97ADB"/>
    <w:rsid w:val="00CD2675"/>
    <w:rsid w:val="00CD30BA"/>
    <w:rsid w:val="00D11DE8"/>
    <w:rsid w:val="00D30915"/>
    <w:rsid w:val="00D76930"/>
    <w:rsid w:val="00D81FCC"/>
    <w:rsid w:val="00D916AE"/>
    <w:rsid w:val="00D97728"/>
    <w:rsid w:val="00DA10DD"/>
    <w:rsid w:val="00DB1FDC"/>
    <w:rsid w:val="00DD7A17"/>
    <w:rsid w:val="00DE108A"/>
    <w:rsid w:val="00DE15C2"/>
    <w:rsid w:val="00E27B83"/>
    <w:rsid w:val="00EB47E1"/>
    <w:rsid w:val="00EB6FEE"/>
    <w:rsid w:val="00ED62E6"/>
    <w:rsid w:val="00EF7D03"/>
    <w:rsid w:val="00F173F9"/>
    <w:rsid w:val="00F24714"/>
    <w:rsid w:val="00F266FF"/>
    <w:rsid w:val="00F75AC6"/>
    <w:rsid w:val="00F865E5"/>
    <w:rsid w:val="00FD79DC"/>
    <w:rsid w:val="00FE74F1"/>
    <w:rsid w:val="00FE7B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53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81739"/>
    <w:pPr>
      <w:ind w:left="720"/>
      <w:contextualSpacing/>
    </w:pPr>
  </w:style>
  <w:style w:type="paragraph" w:styleId="Intestazione">
    <w:name w:val="header"/>
    <w:basedOn w:val="Normale"/>
    <w:link w:val="IntestazioneCarattere"/>
    <w:uiPriority w:val="99"/>
    <w:unhideWhenUsed/>
    <w:rsid w:val="006931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31BA"/>
  </w:style>
  <w:style w:type="paragraph" w:styleId="Pidipagina">
    <w:name w:val="footer"/>
    <w:basedOn w:val="Normale"/>
    <w:link w:val="PidipaginaCarattere"/>
    <w:uiPriority w:val="99"/>
    <w:unhideWhenUsed/>
    <w:rsid w:val="006931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31BA"/>
  </w:style>
  <w:style w:type="table" w:customStyle="1" w:styleId="Tabellasemplice-11">
    <w:name w:val="Tabella semplice - 11"/>
    <w:basedOn w:val="Tabellanormale"/>
    <w:uiPriority w:val="41"/>
    <w:rsid w:val="00DE15C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21">
    <w:name w:val="Tabella semplice - 21"/>
    <w:basedOn w:val="Tabellanormale"/>
    <w:uiPriority w:val="42"/>
    <w:rsid w:val="00DE15C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elenco3-colore11">
    <w:name w:val="Tabella elenco 3 - colore 11"/>
    <w:basedOn w:val="Tabellanormale"/>
    <w:uiPriority w:val="48"/>
    <w:rsid w:val="00DE15C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stofumetto">
    <w:name w:val="Balloon Text"/>
    <w:basedOn w:val="Normale"/>
    <w:link w:val="TestofumettoCarattere"/>
    <w:uiPriority w:val="99"/>
    <w:semiHidden/>
    <w:unhideWhenUsed/>
    <w:rsid w:val="005212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12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51445">
      <w:bodyDiv w:val="1"/>
      <w:marLeft w:val="0"/>
      <w:marRight w:val="0"/>
      <w:marTop w:val="0"/>
      <w:marBottom w:val="0"/>
      <w:divBdr>
        <w:top w:val="none" w:sz="0" w:space="0" w:color="auto"/>
        <w:left w:val="none" w:sz="0" w:space="0" w:color="auto"/>
        <w:bottom w:val="none" w:sz="0" w:space="0" w:color="auto"/>
        <w:right w:val="none" w:sz="0" w:space="0" w:color="auto"/>
      </w:divBdr>
      <w:divsChild>
        <w:div w:id="1407612043">
          <w:marLeft w:val="0"/>
          <w:marRight w:val="0"/>
          <w:marTop w:val="0"/>
          <w:marBottom w:val="0"/>
          <w:divBdr>
            <w:top w:val="none" w:sz="0" w:space="0" w:color="auto"/>
            <w:left w:val="none" w:sz="0" w:space="0" w:color="auto"/>
            <w:bottom w:val="none" w:sz="0" w:space="0" w:color="auto"/>
            <w:right w:val="none" w:sz="0" w:space="0" w:color="auto"/>
          </w:divBdr>
        </w:div>
        <w:div w:id="913126425">
          <w:marLeft w:val="0"/>
          <w:marRight w:val="0"/>
          <w:marTop w:val="0"/>
          <w:marBottom w:val="0"/>
          <w:divBdr>
            <w:top w:val="none" w:sz="0" w:space="0" w:color="auto"/>
            <w:left w:val="none" w:sz="0" w:space="0" w:color="auto"/>
            <w:bottom w:val="none" w:sz="0" w:space="0" w:color="auto"/>
            <w:right w:val="none" w:sz="0" w:space="0" w:color="auto"/>
          </w:divBdr>
        </w:div>
        <w:div w:id="972102408">
          <w:marLeft w:val="0"/>
          <w:marRight w:val="0"/>
          <w:marTop w:val="0"/>
          <w:marBottom w:val="0"/>
          <w:divBdr>
            <w:top w:val="none" w:sz="0" w:space="0" w:color="auto"/>
            <w:left w:val="none" w:sz="0" w:space="0" w:color="auto"/>
            <w:bottom w:val="none" w:sz="0" w:space="0" w:color="auto"/>
            <w:right w:val="none" w:sz="0" w:space="0" w:color="auto"/>
          </w:divBdr>
        </w:div>
        <w:div w:id="284317774">
          <w:marLeft w:val="0"/>
          <w:marRight w:val="0"/>
          <w:marTop w:val="0"/>
          <w:marBottom w:val="0"/>
          <w:divBdr>
            <w:top w:val="none" w:sz="0" w:space="0" w:color="auto"/>
            <w:left w:val="none" w:sz="0" w:space="0" w:color="auto"/>
            <w:bottom w:val="none" w:sz="0" w:space="0" w:color="auto"/>
            <w:right w:val="none" w:sz="0" w:space="0" w:color="auto"/>
          </w:divBdr>
        </w:div>
        <w:div w:id="677275648">
          <w:marLeft w:val="0"/>
          <w:marRight w:val="0"/>
          <w:marTop w:val="480"/>
          <w:marBottom w:val="0"/>
          <w:divBdr>
            <w:top w:val="none" w:sz="0" w:space="0" w:color="auto"/>
            <w:left w:val="none" w:sz="0" w:space="0" w:color="auto"/>
            <w:bottom w:val="none" w:sz="0" w:space="0" w:color="auto"/>
            <w:right w:val="none" w:sz="0" w:space="0" w:color="auto"/>
          </w:divBdr>
          <w:divsChild>
            <w:div w:id="454713732">
              <w:marLeft w:val="0"/>
              <w:marRight w:val="0"/>
              <w:marTop w:val="0"/>
              <w:marBottom w:val="923"/>
              <w:divBdr>
                <w:top w:val="none" w:sz="0" w:space="0" w:color="auto"/>
                <w:left w:val="none" w:sz="0" w:space="0" w:color="auto"/>
                <w:bottom w:val="none" w:sz="0" w:space="0" w:color="auto"/>
                <w:right w:val="none" w:sz="0" w:space="0" w:color="auto"/>
              </w:divBdr>
              <w:divsChild>
                <w:div w:id="1089502421">
                  <w:marLeft w:val="0"/>
                  <w:marRight w:val="0"/>
                  <w:marTop w:val="0"/>
                  <w:marBottom w:val="0"/>
                  <w:divBdr>
                    <w:top w:val="none" w:sz="0" w:space="0" w:color="auto"/>
                    <w:left w:val="none" w:sz="0" w:space="0" w:color="auto"/>
                    <w:bottom w:val="none" w:sz="0" w:space="0" w:color="auto"/>
                    <w:right w:val="none" w:sz="0" w:space="0" w:color="auto"/>
                  </w:divBdr>
                  <w:divsChild>
                    <w:div w:id="1171412483">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 w:id="76949447">
      <w:bodyDiv w:val="1"/>
      <w:marLeft w:val="0"/>
      <w:marRight w:val="0"/>
      <w:marTop w:val="0"/>
      <w:marBottom w:val="0"/>
      <w:divBdr>
        <w:top w:val="none" w:sz="0" w:space="0" w:color="auto"/>
        <w:left w:val="none" w:sz="0" w:space="0" w:color="auto"/>
        <w:bottom w:val="none" w:sz="0" w:space="0" w:color="auto"/>
        <w:right w:val="none" w:sz="0" w:space="0" w:color="auto"/>
      </w:divBdr>
    </w:div>
    <w:div w:id="91628582">
      <w:bodyDiv w:val="1"/>
      <w:marLeft w:val="0"/>
      <w:marRight w:val="0"/>
      <w:marTop w:val="0"/>
      <w:marBottom w:val="0"/>
      <w:divBdr>
        <w:top w:val="none" w:sz="0" w:space="0" w:color="auto"/>
        <w:left w:val="none" w:sz="0" w:space="0" w:color="auto"/>
        <w:bottom w:val="none" w:sz="0" w:space="0" w:color="auto"/>
        <w:right w:val="none" w:sz="0" w:space="0" w:color="auto"/>
      </w:divBdr>
      <w:divsChild>
        <w:div w:id="497622583">
          <w:marLeft w:val="0"/>
          <w:marRight w:val="0"/>
          <w:marTop w:val="0"/>
          <w:marBottom w:val="0"/>
          <w:divBdr>
            <w:top w:val="none" w:sz="0" w:space="0" w:color="auto"/>
            <w:left w:val="none" w:sz="0" w:space="0" w:color="auto"/>
            <w:bottom w:val="none" w:sz="0" w:space="0" w:color="auto"/>
            <w:right w:val="none" w:sz="0" w:space="0" w:color="auto"/>
          </w:divBdr>
        </w:div>
        <w:div w:id="1069186402">
          <w:marLeft w:val="0"/>
          <w:marRight w:val="0"/>
          <w:marTop w:val="0"/>
          <w:marBottom w:val="0"/>
          <w:divBdr>
            <w:top w:val="none" w:sz="0" w:space="0" w:color="auto"/>
            <w:left w:val="none" w:sz="0" w:space="0" w:color="auto"/>
            <w:bottom w:val="none" w:sz="0" w:space="0" w:color="auto"/>
            <w:right w:val="none" w:sz="0" w:space="0" w:color="auto"/>
          </w:divBdr>
        </w:div>
        <w:div w:id="1079988237">
          <w:marLeft w:val="0"/>
          <w:marRight w:val="0"/>
          <w:marTop w:val="0"/>
          <w:marBottom w:val="0"/>
          <w:divBdr>
            <w:top w:val="none" w:sz="0" w:space="0" w:color="auto"/>
            <w:left w:val="none" w:sz="0" w:space="0" w:color="auto"/>
            <w:bottom w:val="none" w:sz="0" w:space="0" w:color="auto"/>
            <w:right w:val="none" w:sz="0" w:space="0" w:color="auto"/>
          </w:divBdr>
        </w:div>
        <w:div w:id="728764751">
          <w:marLeft w:val="0"/>
          <w:marRight w:val="0"/>
          <w:marTop w:val="0"/>
          <w:marBottom w:val="0"/>
          <w:divBdr>
            <w:top w:val="none" w:sz="0" w:space="0" w:color="auto"/>
            <w:left w:val="none" w:sz="0" w:space="0" w:color="auto"/>
            <w:bottom w:val="none" w:sz="0" w:space="0" w:color="auto"/>
            <w:right w:val="none" w:sz="0" w:space="0" w:color="auto"/>
          </w:divBdr>
        </w:div>
        <w:div w:id="933514265">
          <w:marLeft w:val="0"/>
          <w:marRight w:val="0"/>
          <w:marTop w:val="480"/>
          <w:marBottom w:val="0"/>
          <w:divBdr>
            <w:top w:val="none" w:sz="0" w:space="0" w:color="auto"/>
            <w:left w:val="none" w:sz="0" w:space="0" w:color="auto"/>
            <w:bottom w:val="none" w:sz="0" w:space="0" w:color="auto"/>
            <w:right w:val="none" w:sz="0" w:space="0" w:color="auto"/>
          </w:divBdr>
          <w:divsChild>
            <w:div w:id="130681928">
              <w:marLeft w:val="0"/>
              <w:marRight w:val="0"/>
              <w:marTop w:val="0"/>
              <w:marBottom w:val="923"/>
              <w:divBdr>
                <w:top w:val="none" w:sz="0" w:space="0" w:color="auto"/>
                <w:left w:val="none" w:sz="0" w:space="0" w:color="auto"/>
                <w:bottom w:val="none" w:sz="0" w:space="0" w:color="auto"/>
                <w:right w:val="none" w:sz="0" w:space="0" w:color="auto"/>
              </w:divBdr>
              <w:divsChild>
                <w:div w:id="1254628604">
                  <w:marLeft w:val="0"/>
                  <w:marRight w:val="0"/>
                  <w:marTop w:val="0"/>
                  <w:marBottom w:val="0"/>
                  <w:divBdr>
                    <w:top w:val="none" w:sz="0" w:space="0" w:color="auto"/>
                    <w:left w:val="none" w:sz="0" w:space="0" w:color="auto"/>
                    <w:bottom w:val="none" w:sz="0" w:space="0" w:color="auto"/>
                    <w:right w:val="none" w:sz="0" w:space="0" w:color="auto"/>
                  </w:divBdr>
                  <w:divsChild>
                    <w:div w:id="548565942">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 w:id="98263801">
      <w:bodyDiv w:val="1"/>
      <w:marLeft w:val="0"/>
      <w:marRight w:val="0"/>
      <w:marTop w:val="0"/>
      <w:marBottom w:val="0"/>
      <w:divBdr>
        <w:top w:val="none" w:sz="0" w:space="0" w:color="auto"/>
        <w:left w:val="none" w:sz="0" w:space="0" w:color="auto"/>
        <w:bottom w:val="none" w:sz="0" w:space="0" w:color="auto"/>
        <w:right w:val="none" w:sz="0" w:space="0" w:color="auto"/>
      </w:divBdr>
    </w:div>
    <w:div w:id="251089994">
      <w:bodyDiv w:val="1"/>
      <w:marLeft w:val="0"/>
      <w:marRight w:val="0"/>
      <w:marTop w:val="0"/>
      <w:marBottom w:val="0"/>
      <w:divBdr>
        <w:top w:val="none" w:sz="0" w:space="0" w:color="auto"/>
        <w:left w:val="none" w:sz="0" w:space="0" w:color="auto"/>
        <w:bottom w:val="none" w:sz="0" w:space="0" w:color="auto"/>
        <w:right w:val="none" w:sz="0" w:space="0" w:color="auto"/>
      </w:divBdr>
    </w:div>
    <w:div w:id="330186934">
      <w:bodyDiv w:val="1"/>
      <w:marLeft w:val="0"/>
      <w:marRight w:val="0"/>
      <w:marTop w:val="0"/>
      <w:marBottom w:val="0"/>
      <w:divBdr>
        <w:top w:val="none" w:sz="0" w:space="0" w:color="auto"/>
        <w:left w:val="none" w:sz="0" w:space="0" w:color="auto"/>
        <w:bottom w:val="none" w:sz="0" w:space="0" w:color="auto"/>
        <w:right w:val="none" w:sz="0" w:space="0" w:color="auto"/>
      </w:divBdr>
    </w:div>
    <w:div w:id="367411943">
      <w:bodyDiv w:val="1"/>
      <w:marLeft w:val="0"/>
      <w:marRight w:val="0"/>
      <w:marTop w:val="0"/>
      <w:marBottom w:val="0"/>
      <w:divBdr>
        <w:top w:val="none" w:sz="0" w:space="0" w:color="auto"/>
        <w:left w:val="none" w:sz="0" w:space="0" w:color="auto"/>
        <w:bottom w:val="none" w:sz="0" w:space="0" w:color="auto"/>
        <w:right w:val="none" w:sz="0" w:space="0" w:color="auto"/>
      </w:divBdr>
    </w:div>
    <w:div w:id="432677674">
      <w:bodyDiv w:val="1"/>
      <w:marLeft w:val="0"/>
      <w:marRight w:val="0"/>
      <w:marTop w:val="0"/>
      <w:marBottom w:val="0"/>
      <w:divBdr>
        <w:top w:val="none" w:sz="0" w:space="0" w:color="auto"/>
        <w:left w:val="none" w:sz="0" w:space="0" w:color="auto"/>
        <w:bottom w:val="none" w:sz="0" w:space="0" w:color="auto"/>
        <w:right w:val="none" w:sz="0" w:space="0" w:color="auto"/>
      </w:divBdr>
    </w:div>
    <w:div w:id="440026982">
      <w:bodyDiv w:val="1"/>
      <w:marLeft w:val="0"/>
      <w:marRight w:val="0"/>
      <w:marTop w:val="0"/>
      <w:marBottom w:val="0"/>
      <w:divBdr>
        <w:top w:val="none" w:sz="0" w:space="0" w:color="auto"/>
        <w:left w:val="none" w:sz="0" w:space="0" w:color="auto"/>
        <w:bottom w:val="none" w:sz="0" w:space="0" w:color="auto"/>
        <w:right w:val="none" w:sz="0" w:space="0" w:color="auto"/>
      </w:divBdr>
    </w:div>
    <w:div w:id="490144686">
      <w:bodyDiv w:val="1"/>
      <w:marLeft w:val="0"/>
      <w:marRight w:val="0"/>
      <w:marTop w:val="0"/>
      <w:marBottom w:val="0"/>
      <w:divBdr>
        <w:top w:val="none" w:sz="0" w:space="0" w:color="auto"/>
        <w:left w:val="none" w:sz="0" w:space="0" w:color="auto"/>
        <w:bottom w:val="none" w:sz="0" w:space="0" w:color="auto"/>
        <w:right w:val="none" w:sz="0" w:space="0" w:color="auto"/>
      </w:divBdr>
    </w:div>
    <w:div w:id="550269414">
      <w:bodyDiv w:val="1"/>
      <w:marLeft w:val="0"/>
      <w:marRight w:val="0"/>
      <w:marTop w:val="0"/>
      <w:marBottom w:val="0"/>
      <w:divBdr>
        <w:top w:val="none" w:sz="0" w:space="0" w:color="auto"/>
        <w:left w:val="none" w:sz="0" w:space="0" w:color="auto"/>
        <w:bottom w:val="none" w:sz="0" w:space="0" w:color="auto"/>
        <w:right w:val="none" w:sz="0" w:space="0" w:color="auto"/>
      </w:divBdr>
    </w:div>
    <w:div w:id="595286278">
      <w:bodyDiv w:val="1"/>
      <w:marLeft w:val="0"/>
      <w:marRight w:val="0"/>
      <w:marTop w:val="0"/>
      <w:marBottom w:val="0"/>
      <w:divBdr>
        <w:top w:val="none" w:sz="0" w:space="0" w:color="auto"/>
        <w:left w:val="none" w:sz="0" w:space="0" w:color="auto"/>
        <w:bottom w:val="none" w:sz="0" w:space="0" w:color="auto"/>
        <w:right w:val="none" w:sz="0" w:space="0" w:color="auto"/>
      </w:divBdr>
    </w:div>
    <w:div w:id="598874446">
      <w:bodyDiv w:val="1"/>
      <w:marLeft w:val="0"/>
      <w:marRight w:val="0"/>
      <w:marTop w:val="0"/>
      <w:marBottom w:val="0"/>
      <w:divBdr>
        <w:top w:val="none" w:sz="0" w:space="0" w:color="auto"/>
        <w:left w:val="none" w:sz="0" w:space="0" w:color="auto"/>
        <w:bottom w:val="none" w:sz="0" w:space="0" w:color="auto"/>
        <w:right w:val="none" w:sz="0" w:space="0" w:color="auto"/>
      </w:divBdr>
    </w:div>
    <w:div w:id="615407091">
      <w:bodyDiv w:val="1"/>
      <w:marLeft w:val="0"/>
      <w:marRight w:val="0"/>
      <w:marTop w:val="0"/>
      <w:marBottom w:val="0"/>
      <w:divBdr>
        <w:top w:val="none" w:sz="0" w:space="0" w:color="auto"/>
        <w:left w:val="none" w:sz="0" w:space="0" w:color="auto"/>
        <w:bottom w:val="none" w:sz="0" w:space="0" w:color="auto"/>
        <w:right w:val="none" w:sz="0" w:space="0" w:color="auto"/>
      </w:divBdr>
    </w:div>
    <w:div w:id="648822252">
      <w:bodyDiv w:val="1"/>
      <w:marLeft w:val="0"/>
      <w:marRight w:val="0"/>
      <w:marTop w:val="0"/>
      <w:marBottom w:val="0"/>
      <w:divBdr>
        <w:top w:val="none" w:sz="0" w:space="0" w:color="auto"/>
        <w:left w:val="none" w:sz="0" w:space="0" w:color="auto"/>
        <w:bottom w:val="none" w:sz="0" w:space="0" w:color="auto"/>
        <w:right w:val="none" w:sz="0" w:space="0" w:color="auto"/>
      </w:divBdr>
    </w:div>
    <w:div w:id="739258475">
      <w:bodyDiv w:val="1"/>
      <w:marLeft w:val="0"/>
      <w:marRight w:val="0"/>
      <w:marTop w:val="0"/>
      <w:marBottom w:val="0"/>
      <w:divBdr>
        <w:top w:val="none" w:sz="0" w:space="0" w:color="auto"/>
        <w:left w:val="none" w:sz="0" w:space="0" w:color="auto"/>
        <w:bottom w:val="none" w:sz="0" w:space="0" w:color="auto"/>
        <w:right w:val="none" w:sz="0" w:space="0" w:color="auto"/>
      </w:divBdr>
    </w:div>
    <w:div w:id="757016948">
      <w:bodyDiv w:val="1"/>
      <w:marLeft w:val="0"/>
      <w:marRight w:val="0"/>
      <w:marTop w:val="0"/>
      <w:marBottom w:val="0"/>
      <w:divBdr>
        <w:top w:val="none" w:sz="0" w:space="0" w:color="auto"/>
        <w:left w:val="none" w:sz="0" w:space="0" w:color="auto"/>
        <w:bottom w:val="none" w:sz="0" w:space="0" w:color="auto"/>
        <w:right w:val="none" w:sz="0" w:space="0" w:color="auto"/>
      </w:divBdr>
    </w:div>
    <w:div w:id="786893663">
      <w:bodyDiv w:val="1"/>
      <w:marLeft w:val="0"/>
      <w:marRight w:val="0"/>
      <w:marTop w:val="0"/>
      <w:marBottom w:val="0"/>
      <w:divBdr>
        <w:top w:val="none" w:sz="0" w:space="0" w:color="auto"/>
        <w:left w:val="none" w:sz="0" w:space="0" w:color="auto"/>
        <w:bottom w:val="none" w:sz="0" w:space="0" w:color="auto"/>
        <w:right w:val="none" w:sz="0" w:space="0" w:color="auto"/>
      </w:divBdr>
    </w:div>
    <w:div w:id="828714487">
      <w:bodyDiv w:val="1"/>
      <w:marLeft w:val="0"/>
      <w:marRight w:val="0"/>
      <w:marTop w:val="0"/>
      <w:marBottom w:val="0"/>
      <w:divBdr>
        <w:top w:val="none" w:sz="0" w:space="0" w:color="auto"/>
        <w:left w:val="none" w:sz="0" w:space="0" w:color="auto"/>
        <w:bottom w:val="none" w:sz="0" w:space="0" w:color="auto"/>
        <w:right w:val="none" w:sz="0" w:space="0" w:color="auto"/>
      </w:divBdr>
    </w:div>
    <w:div w:id="887761089">
      <w:bodyDiv w:val="1"/>
      <w:marLeft w:val="0"/>
      <w:marRight w:val="0"/>
      <w:marTop w:val="0"/>
      <w:marBottom w:val="0"/>
      <w:divBdr>
        <w:top w:val="none" w:sz="0" w:space="0" w:color="auto"/>
        <w:left w:val="none" w:sz="0" w:space="0" w:color="auto"/>
        <w:bottom w:val="none" w:sz="0" w:space="0" w:color="auto"/>
        <w:right w:val="none" w:sz="0" w:space="0" w:color="auto"/>
      </w:divBdr>
    </w:div>
    <w:div w:id="895355724">
      <w:bodyDiv w:val="1"/>
      <w:marLeft w:val="0"/>
      <w:marRight w:val="0"/>
      <w:marTop w:val="0"/>
      <w:marBottom w:val="0"/>
      <w:divBdr>
        <w:top w:val="none" w:sz="0" w:space="0" w:color="auto"/>
        <w:left w:val="none" w:sz="0" w:space="0" w:color="auto"/>
        <w:bottom w:val="none" w:sz="0" w:space="0" w:color="auto"/>
        <w:right w:val="none" w:sz="0" w:space="0" w:color="auto"/>
      </w:divBdr>
    </w:div>
    <w:div w:id="1187713167">
      <w:bodyDiv w:val="1"/>
      <w:marLeft w:val="0"/>
      <w:marRight w:val="0"/>
      <w:marTop w:val="0"/>
      <w:marBottom w:val="0"/>
      <w:divBdr>
        <w:top w:val="none" w:sz="0" w:space="0" w:color="auto"/>
        <w:left w:val="none" w:sz="0" w:space="0" w:color="auto"/>
        <w:bottom w:val="none" w:sz="0" w:space="0" w:color="auto"/>
        <w:right w:val="none" w:sz="0" w:space="0" w:color="auto"/>
      </w:divBdr>
    </w:div>
    <w:div w:id="1215846168">
      <w:bodyDiv w:val="1"/>
      <w:marLeft w:val="0"/>
      <w:marRight w:val="0"/>
      <w:marTop w:val="0"/>
      <w:marBottom w:val="0"/>
      <w:divBdr>
        <w:top w:val="none" w:sz="0" w:space="0" w:color="auto"/>
        <w:left w:val="none" w:sz="0" w:space="0" w:color="auto"/>
        <w:bottom w:val="none" w:sz="0" w:space="0" w:color="auto"/>
        <w:right w:val="none" w:sz="0" w:space="0" w:color="auto"/>
      </w:divBdr>
    </w:div>
    <w:div w:id="1245995591">
      <w:bodyDiv w:val="1"/>
      <w:marLeft w:val="0"/>
      <w:marRight w:val="0"/>
      <w:marTop w:val="0"/>
      <w:marBottom w:val="0"/>
      <w:divBdr>
        <w:top w:val="none" w:sz="0" w:space="0" w:color="auto"/>
        <w:left w:val="none" w:sz="0" w:space="0" w:color="auto"/>
        <w:bottom w:val="none" w:sz="0" w:space="0" w:color="auto"/>
        <w:right w:val="none" w:sz="0" w:space="0" w:color="auto"/>
      </w:divBdr>
    </w:div>
    <w:div w:id="1265963957">
      <w:bodyDiv w:val="1"/>
      <w:marLeft w:val="0"/>
      <w:marRight w:val="0"/>
      <w:marTop w:val="0"/>
      <w:marBottom w:val="0"/>
      <w:divBdr>
        <w:top w:val="none" w:sz="0" w:space="0" w:color="auto"/>
        <w:left w:val="none" w:sz="0" w:space="0" w:color="auto"/>
        <w:bottom w:val="none" w:sz="0" w:space="0" w:color="auto"/>
        <w:right w:val="none" w:sz="0" w:space="0" w:color="auto"/>
      </w:divBdr>
    </w:div>
    <w:div w:id="1276330514">
      <w:bodyDiv w:val="1"/>
      <w:marLeft w:val="0"/>
      <w:marRight w:val="0"/>
      <w:marTop w:val="0"/>
      <w:marBottom w:val="0"/>
      <w:divBdr>
        <w:top w:val="none" w:sz="0" w:space="0" w:color="auto"/>
        <w:left w:val="none" w:sz="0" w:space="0" w:color="auto"/>
        <w:bottom w:val="none" w:sz="0" w:space="0" w:color="auto"/>
        <w:right w:val="none" w:sz="0" w:space="0" w:color="auto"/>
      </w:divBdr>
    </w:div>
    <w:div w:id="1509179012">
      <w:bodyDiv w:val="1"/>
      <w:marLeft w:val="0"/>
      <w:marRight w:val="0"/>
      <w:marTop w:val="0"/>
      <w:marBottom w:val="0"/>
      <w:divBdr>
        <w:top w:val="none" w:sz="0" w:space="0" w:color="auto"/>
        <w:left w:val="none" w:sz="0" w:space="0" w:color="auto"/>
        <w:bottom w:val="none" w:sz="0" w:space="0" w:color="auto"/>
        <w:right w:val="none" w:sz="0" w:space="0" w:color="auto"/>
      </w:divBdr>
    </w:div>
    <w:div w:id="1533374678">
      <w:bodyDiv w:val="1"/>
      <w:marLeft w:val="0"/>
      <w:marRight w:val="0"/>
      <w:marTop w:val="0"/>
      <w:marBottom w:val="0"/>
      <w:divBdr>
        <w:top w:val="none" w:sz="0" w:space="0" w:color="auto"/>
        <w:left w:val="none" w:sz="0" w:space="0" w:color="auto"/>
        <w:bottom w:val="none" w:sz="0" w:space="0" w:color="auto"/>
        <w:right w:val="none" w:sz="0" w:space="0" w:color="auto"/>
      </w:divBdr>
    </w:div>
    <w:div w:id="1544444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3700">
          <w:marLeft w:val="0"/>
          <w:marRight w:val="0"/>
          <w:marTop w:val="0"/>
          <w:marBottom w:val="0"/>
          <w:divBdr>
            <w:top w:val="none" w:sz="0" w:space="0" w:color="auto"/>
            <w:left w:val="none" w:sz="0" w:space="0" w:color="auto"/>
            <w:bottom w:val="none" w:sz="0" w:space="0" w:color="auto"/>
            <w:right w:val="none" w:sz="0" w:space="0" w:color="auto"/>
          </w:divBdr>
        </w:div>
        <w:div w:id="785656653">
          <w:marLeft w:val="0"/>
          <w:marRight w:val="0"/>
          <w:marTop w:val="0"/>
          <w:marBottom w:val="0"/>
          <w:divBdr>
            <w:top w:val="none" w:sz="0" w:space="0" w:color="auto"/>
            <w:left w:val="none" w:sz="0" w:space="0" w:color="auto"/>
            <w:bottom w:val="none" w:sz="0" w:space="0" w:color="auto"/>
            <w:right w:val="none" w:sz="0" w:space="0" w:color="auto"/>
          </w:divBdr>
        </w:div>
        <w:div w:id="940381782">
          <w:marLeft w:val="0"/>
          <w:marRight w:val="0"/>
          <w:marTop w:val="0"/>
          <w:marBottom w:val="0"/>
          <w:divBdr>
            <w:top w:val="none" w:sz="0" w:space="0" w:color="auto"/>
            <w:left w:val="none" w:sz="0" w:space="0" w:color="auto"/>
            <w:bottom w:val="none" w:sz="0" w:space="0" w:color="auto"/>
            <w:right w:val="none" w:sz="0" w:space="0" w:color="auto"/>
          </w:divBdr>
        </w:div>
        <w:div w:id="1669289181">
          <w:marLeft w:val="0"/>
          <w:marRight w:val="0"/>
          <w:marTop w:val="0"/>
          <w:marBottom w:val="0"/>
          <w:divBdr>
            <w:top w:val="none" w:sz="0" w:space="0" w:color="auto"/>
            <w:left w:val="none" w:sz="0" w:space="0" w:color="auto"/>
            <w:bottom w:val="none" w:sz="0" w:space="0" w:color="auto"/>
            <w:right w:val="none" w:sz="0" w:space="0" w:color="auto"/>
          </w:divBdr>
        </w:div>
        <w:div w:id="1533106221">
          <w:marLeft w:val="0"/>
          <w:marRight w:val="0"/>
          <w:marTop w:val="480"/>
          <w:marBottom w:val="0"/>
          <w:divBdr>
            <w:top w:val="none" w:sz="0" w:space="0" w:color="auto"/>
            <w:left w:val="none" w:sz="0" w:space="0" w:color="auto"/>
            <w:bottom w:val="none" w:sz="0" w:space="0" w:color="auto"/>
            <w:right w:val="none" w:sz="0" w:space="0" w:color="auto"/>
          </w:divBdr>
          <w:divsChild>
            <w:div w:id="1100443301">
              <w:marLeft w:val="0"/>
              <w:marRight w:val="0"/>
              <w:marTop w:val="0"/>
              <w:marBottom w:val="923"/>
              <w:divBdr>
                <w:top w:val="none" w:sz="0" w:space="0" w:color="auto"/>
                <w:left w:val="none" w:sz="0" w:space="0" w:color="auto"/>
                <w:bottom w:val="none" w:sz="0" w:space="0" w:color="auto"/>
                <w:right w:val="none" w:sz="0" w:space="0" w:color="auto"/>
              </w:divBdr>
              <w:divsChild>
                <w:div w:id="1682316121">
                  <w:marLeft w:val="0"/>
                  <w:marRight w:val="0"/>
                  <w:marTop w:val="0"/>
                  <w:marBottom w:val="0"/>
                  <w:divBdr>
                    <w:top w:val="none" w:sz="0" w:space="0" w:color="auto"/>
                    <w:left w:val="none" w:sz="0" w:space="0" w:color="auto"/>
                    <w:bottom w:val="none" w:sz="0" w:space="0" w:color="auto"/>
                    <w:right w:val="none" w:sz="0" w:space="0" w:color="auto"/>
                  </w:divBdr>
                  <w:divsChild>
                    <w:div w:id="1087732817">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 w:id="1544945993">
      <w:bodyDiv w:val="1"/>
      <w:marLeft w:val="0"/>
      <w:marRight w:val="0"/>
      <w:marTop w:val="0"/>
      <w:marBottom w:val="0"/>
      <w:divBdr>
        <w:top w:val="none" w:sz="0" w:space="0" w:color="auto"/>
        <w:left w:val="none" w:sz="0" w:space="0" w:color="auto"/>
        <w:bottom w:val="none" w:sz="0" w:space="0" w:color="auto"/>
        <w:right w:val="none" w:sz="0" w:space="0" w:color="auto"/>
      </w:divBdr>
    </w:div>
    <w:div w:id="1592160830">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
    <w:div w:id="1835560577">
      <w:bodyDiv w:val="1"/>
      <w:marLeft w:val="0"/>
      <w:marRight w:val="0"/>
      <w:marTop w:val="0"/>
      <w:marBottom w:val="0"/>
      <w:divBdr>
        <w:top w:val="none" w:sz="0" w:space="0" w:color="auto"/>
        <w:left w:val="none" w:sz="0" w:space="0" w:color="auto"/>
        <w:bottom w:val="none" w:sz="0" w:space="0" w:color="auto"/>
        <w:right w:val="none" w:sz="0" w:space="0" w:color="auto"/>
      </w:divBdr>
    </w:div>
    <w:div w:id="2044330585">
      <w:bodyDiv w:val="1"/>
      <w:marLeft w:val="0"/>
      <w:marRight w:val="0"/>
      <w:marTop w:val="0"/>
      <w:marBottom w:val="0"/>
      <w:divBdr>
        <w:top w:val="none" w:sz="0" w:space="0" w:color="auto"/>
        <w:left w:val="none" w:sz="0" w:space="0" w:color="auto"/>
        <w:bottom w:val="none" w:sz="0" w:space="0" w:color="auto"/>
        <w:right w:val="none" w:sz="0" w:space="0" w:color="auto"/>
      </w:divBdr>
    </w:div>
    <w:div w:id="2104957758">
      <w:bodyDiv w:val="1"/>
      <w:marLeft w:val="0"/>
      <w:marRight w:val="0"/>
      <w:marTop w:val="0"/>
      <w:marBottom w:val="0"/>
      <w:divBdr>
        <w:top w:val="none" w:sz="0" w:space="0" w:color="auto"/>
        <w:left w:val="none" w:sz="0" w:space="0" w:color="auto"/>
        <w:bottom w:val="none" w:sz="0" w:space="0" w:color="auto"/>
        <w:right w:val="none" w:sz="0" w:space="0" w:color="auto"/>
      </w:divBdr>
    </w:div>
    <w:div w:id="2107916966">
      <w:bodyDiv w:val="1"/>
      <w:marLeft w:val="0"/>
      <w:marRight w:val="0"/>
      <w:marTop w:val="0"/>
      <w:marBottom w:val="0"/>
      <w:divBdr>
        <w:top w:val="none" w:sz="0" w:space="0" w:color="auto"/>
        <w:left w:val="none" w:sz="0" w:space="0" w:color="auto"/>
        <w:bottom w:val="none" w:sz="0" w:space="0" w:color="auto"/>
        <w:right w:val="none" w:sz="0" w:space="0" w:color="auto"/>
      </w:divBdr>
    </w:div>
    <w:div w:id="21195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iorgio\Desktop\CS-2018_G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iorgio\Desktop\CS-2018_G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iorgio\Desktop\CS-2018_G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iorgio\Desktop\CS-2018_G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a:pPr>
            <a:r>
              <a:rPr lang="it-IT" sz="1400" baseline="0"/>
              <a:t>INCASSI E PRESENZE  2013 - 2017</a:t>
            </a:r>
            <a:endParaRPr lang="it-IT" sz="1400"/>
          </a:p>
        </c:rich>
      </c:tx>
    </c:title>
    <c:plotArea>
      <c:layout/>
      <c:barChart>
        <c:barDir val="col"/>
        <c:grouping val="clustered"/>
        <c:ser>
          <c:idx val="0"/>
          <c:order val="0"/>
          <c:dLbls>
            <c:dLbl>
              <c:idx val="0"/>
              <c:layout>
                <c:manualLayout>
                  <c:x val="-2.6976551151691223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06-4AEE-8D9E-4D0201EC9D27}"/>
                </c:ext>
              </c:extLst>
            </c:dLbl>
            <c:dLbl>
              <c:idx val="1"/>
              <c:layout>
                <c:manualLayout>
                  <c:x val="-3.1126789790412931E-2"/>
                  <c:y val="-5.733745621246833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06-4AEE-8D9E-4D0201EC9D27}"/>
                </c:ext>
              </c:extLst>
            </c:dLbl>
            <c:dLbl>
              <c:idx val="2"/>
              <c:layout>
                <c:manualLayout>
                  <c:x val="-2.0751193193608634E-2"/>
                  <c:y val="5.733745621246833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06-4AEE-8D9E-4D0201EC9D27}"/>
                </c:ext>
              </c:extLst>
            </c:dLbl>
            <c:dLbl>
              <c:idx val="3"/>
              <c:layout>
                <c:manualLayout>
                  <c:x val="-2.2826312512969481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06-4AEE-8D9E-4D0201EC9D27}"/>
                </c:ext>
              </c:extLst>
            </c:dLbl>
            <c:dLbl>
              <c:idx val="4"/>
              <c:layout>
                <c:manualLayout>
                  <c:x val="-2.2826312512969564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06-4AEE-8D9E-4D0201EC9D27}"/>
                </c:ext>
              </c:extLst>
            </c:dLbl>
            <c:spPr>
              <a:noFill/>
              <a:ln>
                <a:noFill/>
              </a:ln>
              <a:effectLst/>
            </c:spPr>
            <c:txPr>
              <a:bodyPr/>
              <a:lstStyle/>
              <a:p>
                <a:pPr>
                  <a:defRPr b="1"/>
                </a:pPr>
                <a:endParaRPr lang="it-IT"/>
              </a:p>
            </c:txPr>
            <c:dLblPos val="outEnd"/>
            <c:showVal val="1"/>
            <c:extLst xmlns:c16r2="http://schemas.microsoft.com/office/drawing/2015/06/chart">
              <c:ext xmlns:c15="http://schemas.microsoft.com/office/drawing/2012/chart" uri="{CE6537A1-D6FC-4f65-9D91-7224C49458BB}">
                <c15:showLeaderLines val="0"/>
              </c:ext>
            </c:extLst>
          </c:dLbls>
          <c:cat>
            <c:strRef>
              <c:f>'Risultati totali'!$A$9:$A$13</c:f>
              <c:strCache>
                <c:ptCount val="5"/>
                <c:pt idx="0">
                  <c:v>Anno 2013</c:v>
                </c:pt>
                <c:pt idx="1">
                  <c:v>Anno 2014</c:v>
                </c:pt>
                <c:pt idx="2">
                  <c:v>Anno 2015</c:v>
                </c:pt>
                <c:pt idx="3">
                  <c:v>Anno 2016</c:v>
                </c:pt>
                <c:pt idx="4">
                  <c:v>Anno 2017</c:v>
                </c:pt>
              </c:strCache>
            </c:strRef>
          </c:cat>
          <c:val>
            <c:numRef>
              <c:f>'Risultati totali'!$D$9:$D$13</c:f>
              <c:numCache>
                <c:formatCode>_-* #,##0_-;\-* #,##0_-;_-* "-"??_-;_-@_-</c:formatCode>
                <c:ptCount val="5"/>
                <c:pt idx="0">
                  <c:v>97431465</c:v>
                </c:pt>
                <c:pt idx="1">
                  <c:v>91526747</c:v>
                </c:pt>
                <c:pt idx="2">
                  <c:v>99362667</c:v>
                </c:pt>
                <c:pt idx="3">
                  <c:v>105385195</c:v>
                </c:pt>
                <c:pt idx="4">
                  <c:v>92336963</c:v>
                </c:pt>
              </c:numCache>
            </c:numRef>
          </c:val>
          <c:extLst xmlns:c16r2="http://schemas.microsoft.com/office/drawing/2015/06/chart">
            <c:ext xmlns:c16="http://schemas.microsoft.com/office/drawing/2014/chart" uri="{C3380CC4-5D6E-409C-BE32-E72D297353CC}">
              <c16:uniqueId val="{00000005-D606-4AEE-8D9E-4D0201EC9D27}"/>
            </c:ext>
          </c:extLst>
        </c:ser>
        <c:ser>
          <c:idx val="1"/>
          <c:order val="1"/>
          <c:dLbls>
            <c:dLbl>
              <c:idx val="0"/>
              <c:layout>
                <c:manualLayout>
                  <c:x val="0"/>
                  <c:y val="1.41342756183745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606-4AEE-8D9E-4D0201EC9D27}"/>
                </c:ext>
              </c:extLst>
            </c:dLbl>
            <c:dLbl>
              <c:idx val="2"/>
              <c:layout>
                <c:manualLayout>
                  <c:x val="6.2517038525316089E-17"/>
                  <c:y val="2.826855123674905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606-4AEE-8D9E-4D0201EC9D27}"/>
                </c:ext>
              </c:extLst>
            </c:dLbl>
            <c:spPr>
              <a:noFill/>
              <a:ln>
                <a:noFill/>
              </a:ln>
              <a:effectLst/>
            </c:spPr>
            <c:txPr>
              <a:bodyPr/>
              <a:lstStyle/>
              <a:p>
                <a:pPr>
                  <a:defRPr b="1"/>
                </a:pPr>
                <a:endParaRPr lang="it-IT"/>
              </a:p>
            </c:txPr>
            <c:dLblPos val="outEnd"/>
            <c:showVal val="1"/>
            <c:extLst xmlns:c16r2="http://schemas.microsoft.com/office/drawing/2015/06/chart">
              <c:ext xmlns:c15="http://schemas.microsoft.com/office/drawing/2012/chart" uri="{CE6537A1-D6FC-4f65-9D91-7224C49458BB}">
                <c15:showLeaderLines val="0"/>
              </c:ext>
            </c:extLst>
          </c:dLbls>
          <c:cat>
            <c:strRef>
              <c:f>'Risultati totali'!$A$9:$A$13</c:f>
              <c:strCache>
                <c:ptCount val="5"/>
                <c:pt idx="0">
                  <c:v>Anno 2013</c:v>
                </c:pt>
                <c:pt idx="1">
                  <c:v>Anno 2014</c:v>
                </c:pt>
                <c:pt idx="2">
                  <c:v>Anno 2015</c:v>
                </c:pt>
                <c:pt idx="3">
                  <c:v>Anno 2016</c:v>
                </c:pt>
                <c:pt idx="4">
                  <c:v>Anno 2017</c:v>
                </c:pt>
              </c:strCache>
            </c:strRef>
          </c:cat>
          <c:val>
            <c:numRef>
              <c:f>'Risultati totali'!$B$9:$B$13</c:f>
              <c:numCache>
                <c:formatCode>_-"€"\ * #,##0_-;\-"€"\ * #,##0_-;_-"€"\ * "-"??_-;_-@_-</c:formatCode>
                <c:ptCount val="5"/>
                <c:pt idx="0">
                  <c:v>618699908.63</c:v>
                </c:pt>
                <c:pt idx="1">
                  <c:v>575247515.04999936</c:v>
                </c:pt>
                <c:pt idx="2">
                  <c:v>637265703.92999935</c:v>
                </c:pt>
                <c:pt idx="3">
                  <c:v>661844025.08000004</c:v>
                </c:pt>
                <c:pt idx="4">
                  <c:v>584843610.22000003</c:v>
                </c:pt>
              </c:numCache>
            </c:numRef>
          </c:val>
          <c:extLst xmlns:c16r2="http://schemas.microsoft.com/office/drawing/2015/06/chart">
            <c:ext xmlns:c16="http://schemas.microsoft.com/office/drawing/2014/chart" uri="{C3380CC4-5D6E-409C-BE32-E72D297353CC}">
              <c16:uniqueId val="{00000008-D606-4AEE-8D9E-4D0201EC9D27}"/>
            </c:ext>
          </c:extLst>
        </c:ser>
        <c:dLbls>
          <c:showVal val="1"/>
        </c:dLbls>
        <c:axId val="165873152"/>
        <c:axId val="165874688"/>
      </c:barChart>
      <c:catAx>
        <c:axId val="165873152"/>
        <c:scaling>
          <c:orientation val="minMax"/>
        </c:scaling>
        <c:axPos val="b"/>
        <c:numFmt formatCode="General" sourceLinked="0"/>
        <c:majorTickMark val="none"/>
        <c:tickLblPos val="nextTo"/>
        <c:txPr>
          <a:bodyPr/>
          <a:lstStyle/>
          <a:p>
            <a:pPr>
              <a:defRPr b="1"/>
            </a:pPr>
            <a:endParaRPr lang="it-IT"/>
          </a:p>
        </c:txPr>
        <c:crossAx val="165874688"/>
        <c:crosses val="autoZero"/>
        <c:auto val="1"/>
        <c:lblAlgn val="ctr"/>
        <c:lblOffset val="100"/>
      </c:catAx>
      <c:valAx>
        <c:axId val="165874688"/>
        <c:scaling>
          <c:orientation val="minMax"/>
        </c:scaling>
        <c:axPos val="l"/>
        <c:majorGridlines/>
        <c:numFmt formatCode="_-* #,##0_-;\-* #,##0_-;_-* &quot;-&quot;??_-;_-@_-" sourceLinked="1"/>
        <c:tickLblPos val="nextTo"/>
        <c:crossAx val="16587315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en-US" sz="1200"/>
              <a:t>ITA+COP</a:t>
            </a:r>
            <a:r>
              <a:rPr lang="en-US" sz="1200" baseline="0"/>
              <a:t>  2014 - 2017</a:t>
            </a:r>
            <a:endParaRPr lang="en-US" sz="1200"/>
          </a:p>
        </c:rich>
      </c:tx>
    </c:title>
    <c:plotArea>
      <c:layout/>
      <c:barChart>
        <c:barDir val="col"/>
        <c:grouping val="clustered"/>
        <c:ser>
          <c:idx val="0"/>
          <c:order val="0"/>
          <c:tx>
            <c:strRef>
              <c:f>'Quote 4 anni'!$L$18</c:f>
              <c:strCache>
                <c:ptCount val="1"/>
                <c:pt idx="0">
                  <c:v>ITA+COP</c:v>
                </c:pt>
              </c:strCache>
            </c:strRef>
          </c:tx>
          <c:dPt>
            <c:idx val="1"/>
            <c:spPr>
              <a:solidFill>
                <a:schemeClr val="accent6"/>
              </a:solidFill>
            </c:spPr>
            <c:extLst xmlns:c16r2="http://schemas.microsoft.com/office/drawing/2015/06/chart">
              <c:ext xmlns:c16="http://schemas.microsoft.com/office/drawing/2014/chart" uri="{C3380CC4-5D6E-409C-BE32-E72D297353CC}">
                <c16:uniqueId val="{00000000-D1D4-4E2F-9308-A66E6DA6893B}"/>
              </c:ext>
            </c:extLst>
          </c:dPt>
          <c:dPt>
            <c:idx val="3"/>
            <c:spPr>
              <a:solidFill>
                <a:schemeClr val="accent6"/>
              </a:solidFill>
            </c:spPr>
            <c:extLst xmlns:c16r2="http://schemas.microsoft.com/office/drawing/2015/06/chart">
              <c:ext xmlns:c16="http://schemas.microsoft.com/office/drawing/2014/chart" uri="{C3380CC4-5D6E-409C-BE32-E72D297353CC}">
                <c16:uniqueId val="{00000001-D1D4-4E2F-9308-A66E6DA6893B}"/>
              </c:ext>
            </c:extLst>
          </c:dPt>
          <c:dPt>
            <c:idx val="5"/>
            <c:spPr>
              <a:solidFill>
                <a:schemeClr val="accent6"/>
              </a:solidFill>
            </c:spPr>
            <c:extLst xmlns:c16r2="http://schemas.microsoft.com/office/drawing/2015/06/chart">
              <c:ext xmlns:c16="http://schemas.microsoft.com/office/drawing/2014/chart" uri="{C3380CC4-5D6E-409C-BE32-E72D297353CC}">
                <c16:uniqueId val="{00000002-D1D4-4E2F-9308-A66E6DA6893B}"/>
              </c:ext>
            </c:extLst>
          </c:dPt>
          <c:dPt>
            <c:idx val="7"/>
            <c:spPr>
              <a:solidFill>
                <a:schemeClr val="accent6"/>
              </a:solidFill>
            </c:spPr>
            <c:extLst xmlns:c16r2="http://schemas.microsoft.com/office/drawing/2015/06/chart">
              <c:ext xmlns:c16="http://schemas.microsoft.com/office/drawing/2014/chart" uri="{C3380CC4-5D6E-409C-BE32-E72D297353CC}">
                <c16:uniqueId val="{00000003-D1D4-4E2F-9308-A66E6DA6893B}"/>
              </c:ext>
            </c:extLst>
          </c:dPt>
          <c:dLbls>
            <c:spPr>
              <a:noFill/>
              <a:ln>
                <a:noFill/>
              </a:ln>
              <a:effectLst/>
            </c:spPr>
            <c:txPr>
              <a:bodyPr/>
              <a:lstStyle/>
              <a:p>
                <a:pPr>
                  <a:defRPr b="1"/>
                </a:pPr>
                <a:endParaRPr lang="it-IT"/>
              </a:p>
            </c:txPr>
            <c:dLblPos val="outEnd"/>
            <c:showVal val="1"/>
            <c:extLst xmlns:c16r2="http://schemas.microsoft.com/office/drawing/2015/06/chart">
              <c:ext xmlns:c15="http://schemas.microsoft.com/office/drawing/2012/chart" uri="{CE6537A1-D6FC-4f65-9D91-7224C49458BB}">
                <c15:showLeaderLines val="0"/>
              </c:ext>
            </c:extLst>
          </c:dLbls>
          <c:cat>
            <c:multiLvlStrRef>
              <c:f>'Quote 4 anni'!$M$16:$T$17</c:f>
              <c:multiLvlStrCache>
                <c:ptCount val="8"/>
                <c:lvl>
                  <c:pt idx="0">
                    <c:v>QUOTA GBO</c:v>
                  </c:pt>
                  <c:pt idx="1">
                    <c:v>QUOTA ADM</c:v>
                  </c:pt>
                  <c:pt idx="2">
                    <c:v>QUOTA GBO</c:v>
                  </c:pt>
                  <c:pt idx="3">
                    <c:v>QUOTA ADM</c:v>
                  </c:pt>
                  <c:pt idx="4">
                    <c:v>QUOTA GBO</c:v>
                  </c:pt>
                  <c:pt idx="5">
                    <c:v>QUOTA ADM</c:v>
                  </c:pt>
                  <c:pt idx="6">
                    <c:v>QUOTA GBO</c:v>
                  </c:pt>
                  <c:pt idx="7">
                    <c:v>QUOTA ADM</c:v>
                  </c:pt>
                </c:lvl>
                <c:lvl>
                  <c:pt idx="0">
                    <c:v>2014</c:v>
                  </c:pt>
                  <c:pt idx="2">
                    <c:v>2015</c:v>
                  </c:pt>
                  <c:pt idx="4">
                    <c:v>2016</c:v>
                  </c:pt>
                  <c:pt idx="6">
                    <c:v>2017</c:v>
                  </c:pt>
                </c:lvl>
              </c:multiLvlStrCache>
            </c:multiLvlStrRef>
          </c:cat>
          <c:val>
            <c:numRef>
              <c:f>'Quote 4 anni'!$M$18:$T$18</c:f>
              <c:numCache>
                <c:formatCode>0.00%</c:formatCode>
                <c:ptCount val="8"/>
                <c:pt idx="0">
                  <c:v>0.27350000000000002</c:v>
                </c:pt>
                <c:pt idx="1">
                  <c:v>0.2792</c:v>
                </c:pt>
                <c:pt idx="2">
                  <c:v>0.20740000000000014</c:v>
                </c:pt>
                <c:pt idx="3">
                  <c:v>0.21350000000000013</c:v>
                </c:pt>
                <c:pt idx="4">
                  <c:v>0.29050000000000026</c:v>
                </c:pt>
                <c:pt idx="5">
                  <c:v>0.28710000000000002</c:v>
                </c:pt>
                <c:pt idx="6">
                  <c:v>0.17640000000000014</c:v>
                </c:pt>
                <c:pt idx="7">
                  <c:v>0.18280000000000013</c:v>
                </c:pt>
              </c:numCache>
            </c:numRef>
          </c:val>
          <c:extLst xmlns:c16r2="http://schemas.microsoft.com/office/drawing/2015/06/chart">
            <c:ext xmlns:c16="http://schemas.microsoft.com/office/drawing/2014/chart" uri="{C3380CC4-5D6E-409C-BE32-E72D297353CC}">
              <c16:uniqueId val="{00000004-D1D4-4E2F-9308-A66E6DA6893B}"/>
            </c:ext>
          </c:extLst>
        </c:ser>
        <c:dLbls>
          <c:showVal val="1"/>
        </c:dLbls>
        <c:gapWidth val="75"/>
        <c:overlap val="-25"/>
        <c:axId val="165925248"/>
        <c:axId val="165926784"/>
      </c:barChart>
      <c:catAx>
        <c:axId val="165925248"/>
        <c:scaling>
          <c:orientation val="minMax"/>
        </c:scaling>
        <c:axPos val="b"/>
        <c:numFmt formatCode="General" sourceLinked="0"/>
        <c:majorTickMark val="none"/>
        <c:tickLblPos val="nextTo"/>
        <c:txPr>
          <a:bodyPr/>
          <a:lstStyle/>
          <a:p>
            <a:pPr>
              <a:defRPr sz="900"/>
            </a:pPr>
            <a:endParaRPr lang="it-IT"/>
          </a:p>
        </c:txPr>
        <c:crossAx val="165926784"/>
        <c:crosses val="autoZero"/>
        <c:auto val="1"/>
        <c:lblAlgn val="ctr"/>
        <c:lblOffset val="100"/>
      </c:catAx>
      <c:valAx>
        <c:axId val="165926784"/>
        <c:scaling>
          <c:orientation val="minMax"/>
        </c:scaling>
        <c:axPos val="l"/>
        <c:majorGridlines/>
        <c:numFmt formatCode="0.00%" sourceLinked="1"/>
        <c:majorTickMark val="none"/>
        <c:tickLblPos val="nextTo"/>
        <c:spPr>
          <a:ln w="9525">
            <a:noFill/>
          </a:ln>
        </c:spPr>
        <c:crossAx val="16592524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a:pPr>
            <a:r>
              <a:rPr lang="it-IT" sz="1200"/>
              <a:t>Diff.</a:t>
            </a:r>
            <a:r>
              <a:rPr lang="it-IT" sz="1200" baseline="0"/>
              <a:t> % GBO mensile 17/16</a:t>
            </a:r>
            <a:endParaRPr lang="it-IT" sz="1200"/>
          </a:p>
        </c:rich>
      </c:tx>
    </c:title>
    <c:plotArea>
      <c:layout/>
      <c:barChart>
        <c:barDir val="col"/>
        <c:grouping val="clustered"/>
        <c:ser>
          <c:idx val="0"/>
          <c:order val="0"/>
          <c:dLbls>
            <c:dLbl>
              <c:idx val="1"/>
              <c:layout>
                <c:manualLayout>
                  <c:x val="0"/>
                  <c:y val="-2.314814814814822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52-4859-99DB-8DD0E77C6C5A}"/>
                </c:ext>
              </c:extLst>
            </c:dLbl>
            <c:dLbl>
              <c:idx val="2"/>
              <c:layout>
                <c:manualLayout>
                  <c:x val="2.0751193193608631E-3"/>
                  <c:y val="-7.2838037514542972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52-4859-99DB-8DD0E77C6C5A}"/>
                </c:ext>
              </c:extLst>
            </c:dLbl>
            <c:dLbl>
              <c:idx val="3"/>
              <c:spPr>
                <a:solidFill>
                  <a:schemeClr val="bg1"/>
                </a:solidFill>
              </c:spPr>
              <c:txPr>
                <a:bodyPr/>
                <a:lstStyle/>
                <a:p>
                  <a:pPr>
                    <a:defRPr b="1">
                      <a:solidFill>
                        <a:schemeClr val="tx2"/>
                      </a:solidFill>
                    </a:defRPr>
                  </a:pPr>
                  <a:endParaRPr lang="it-IT"/>
                </a:p>
              </c:txPr>
            </c:dLbl>
            <c:dLbl>
              <c:idx val="6"/>
              <c:spPr>
                <a:solidFill>
                  <a:schemeClr val="bg1"/>
                </a:solidFill>
              </c:spPr>
              <c:txPr>
                <a:bodyPr/>
                <a:lstStyle/>
                <a:p>
                  <a:pPr>
                    <a:defRPr b="1">
                      <a:solidFill>
                        <a:schemeClr val="tx2"/>
                      </a:solidFill>
                    </a:defRPr>
                  </a:pPr>
                  <a:endParaRPr lang="it-IT"/>
                </a:p>
              </c:txPr>
            </c:dLbl>
            <c:dLbl>
              <c:idx val="8"/>
              <c:spPr>
                <a:solidFill>
                  <a:schemeClr val="bg1"/>
                </a:solidFill>
              </c:spPr>
              <c:txPr>
                <a:bodyPr/>
                <a:lstStyle/>
                <a:p>
                  <a:pPr>
                    <a:defRPr b="1">
                      <a:solidFill>
                        <a:schemeClr val="tx2"/>
                      </a:solidFill>
                    </a:defRPr>
                  </a:pPr>
                  <a:endParaRPr lang="it-IT"/>
                </a:p>
              </c:txPr>
            </c:dLbl>
            <c:dLbl>
              <c:idx val="11"/>
              <c:spPr>
                <a:solidFill>
                  <a:schemeClr val="bg1"/>
                </a:solidFill>
              </c:spPr>
              <c:txPr>
                <a:bodyPr/>
                <a:lstStyle/>
                <a:p>
                  <a:pPr>
                    <a:defRPr b="1">
                      <a:solidFill>
                        <a:schemeClr val="tx2"/>
                      </a:solidFill>
                    </a:defRPr>
                  </a:pPr>
                  <a:endParaRPr lang="it-IT"/>
                </a:p>
              </c:txPr>
            </c:dLbl>
            <c:spPr>
              <a:solidFill>
                <a:schemeClr val="bg1"/>
              </a:solidFill>
            </c:spPr>
            <c:txPr>
              <a:bodyPr/>
              <a:lstStyle/>
              <a:p>
                <a:pPr>
                  <a:defRPr b="1">
                    <a:solidFill>
                      <a:srgbClr val="FF0000"/>
                    </a:solidFill>
                  </a:defRPr>
                </a:pPr>
                <a:endParaRPr lang="it-IT"/>
              </a:p>
            </c:txPr>
            <c:dLblPos val="outEnd"/>
            <c:showVal val="1"/>
            <c:extLst xmlns:c16r2="http://schemas.microsoft.com/office/drawing/2015/06/chart">
              <c:ext xmlns:c15="http://schemas.microsoft.com/office/drawing/2012/chart" uri="{CE6537A1-D6FC-4f65-9D91-7224C49458BB}">
                <c15:showLeaderLines val="0"/>
              </c:ext>
            </c:extLst>
          </c:dLbls>
          <c:cat>
            <c:strRef>
              <c:f>Mesi!$L$7:$L$18</c:f>
              <c:strCache>
                <c:ptCount val="12"/>
                <c:pt idx="0">
                  <c:v>gennaio</c:v>
                </c:pt>
                <c:pt idx="1">
                  <c:v>febbraio</c:v>
                </c:pt>
                <c:pt idx="2">
                  <c:v>marzo</c:v>
                </c:pt>
                <c:pt idx="3">
                  <c:v>aprile</c:v>
                </c:pt>
                <c:pt idx="4">
                  <c:v>maggio</c:v>
                </c:pt>
                <c:pt idx="5">
                  <c:v>giugno</c:v>
                </c:pt>
                <c:pt idx="6">
                  <c:v>luglio</c:v>
                </c:pt>
                <c:pt idx="7">
                  <c:v>agosto</c:v>
                </c:pt>
                <c:pt idx="8">
                  <c:v>settembre</c:v>
                </c:pt>
                <c:pt idx="9">
                  <c:v>ottobre</c:v>
                </c:pt>
                <c:pt idx="10">
                  <c:v>novembre</c:v>
                </c:pt>
                <c:pt idx="11">
                  <c:v>dicembre</c:v>
                </c:pt>
              </c:strCache>
            </c:strRef>
          </c:cat>
          <c:val>
            <c:numRef>
              <c:f>Mesi!$Q$7:$Q$18</c:f>
              <c:numCache>
                <c:formatCode>0.00%</c:formatCode>
                <c:ptCount val="12"/>
                <c:pt idx="0">
                  <c:v>-0.35534290268622548</c:v>
                </c:pt>
                <c:pt idx="1">
                  <c:v>-8.2187022220566536E-2</c:v>
                </c:pt>
                <c:pt idx="2">
                  <c:v>-3.6947000571657035E-2</c:v>
                </c:pt>
                <c:pt idx="3">
                  <c:v>0.20990124470151394</c:v>
                </c:pt>
                <c:pt idx="4">
                  <c:v>-0.23504874835437178</c:v>
                </c:pt>
                <c:pt idx="5">
                  <c:v>-0.15847597304632557</c:v>
                </c:pt>
                <c:pt idx="6">
                  <c:v>9.0645575659692862E-2</c:v>
                </c:pt>
                <c:pt idx="7">
                  <c:v>-0.24055521905009991</c:v>
                </c:pt>
                <c:pt idx="8">
                  <c:v>3.7181765788936859E-2</c:v>
                </c:pt>
                <c:pt idx="9">
                  <c:v>-0.14107074390470362</c:v>
                </c:pt>
                <c:pt idx="10">
                  <c:v>-0.11544860043126516</c:v>
                </c:pt>
                <c:pt idx="11">
                  <c:v>6.4228949675288E-2</c:v>
                </c:pt>
              </c:numCache>
            </c:numRef>
          </c:val>
          <c:extLst xmlns:c16r2="http://schemas.microsoft.com/office/drawing/2015/06/chart">
            <c:ext xmlns:c16="http://schemas.microsoft.com/office/drawing/2014/chart" uri="{C3380CC4-5D6E-409C-BE32-E72D297353CC}">
              <c16:uniqueId val="{00000006-D852-4859-99DB-8DD0E77C6C5A}"/>
            </c:ext>
          </c:extLst>
        </c:ser>
        <c:dLbls>
          <c:showVal val="1"/>
        </c:dLbls>
        <c:axId val="165772288"/>
        <c:axId val="165774080"/>
      </c:barChart>
      <c:catAx>
        <c:axId val="165772288"/>
        <c:scaling>
          <c:orientation val="minMax"/>
        </c:scaling>
        <c:axPos val="b"/>
        <c:numFmt formatCode="General" sourceLinked="0"/>
        <c:tickLblPos val="nextTo"/>
        <c:crossAx val="165774080"/>
        <c:crosses val="autoZero"/>
        <c:auto val="1"/>
        <c:lblAlgn val="ctr"/>
        <c:lblOffset val="100"/>
      </c:catAx>
      <c:valAx>
        <c:axId val="165774080"/>
        <c:scaling>
          <c:orientation val="minMax"/>
        </c:scaling>
        <c:axPos val="l"/>
        <c:majorGridlines/>
        <c:numFmt formatCode="0.00%" sourceLinked="1"/>
        <c:tickLblPos val="nextTo"/>
        <c:crossAx val="165772288"/>
        <c:crosses val="autoZero"/>
        <c:crossBetween val="between"/>
      </c:valAx>
    </c:plotArea>
    <c:plotVisOnly val="1"/>
    <c:dispBlanksAs val="gap"/>
  </c:chart>
  <c:spPr>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style val="10"/>
  <c:chart>
    <c:title>
      <c:tx>
        <c:rich>
          <a:bodyPr/>
          <a:lstStyle/>
          <a:p>
            <a:pPr>
              <a:defRPr/>
            </a:pPr>
            <a:r>
              <a:rPr lang="it-IT" sz="1100"/>
              <a:t>2017</a:t>
            </a:r>
            <a:r>
              <a:rPr lang="it-IT" sz="1100" baseline="0"/>
              <a:t> v 2016: ITA+COP e USA</a:t>
            </a:r>
            <a:endParaRPr lang="it-IT" sz="1100"/>
          </a:p>
        </c:rich>
      </c:tx>
    </c:title>
    <c:plotArea>
      <c:layout/>
      <c:lineChart>
        <c:grouping val="standard"/>
        <c:ser>
          <c:idx val="0"/>
          <c:order val="0"/>
          <c:tx>
            <c:strRef>
              <c:f>Mesi!$O$56</c:f>
              <c:strCache>
                <c:ptCount val="1"/>
                <c:pt idx="0">
                  <c:v>Diff. % 17/16 ITA+COP</c:v>
                </c:pt>
              </c:strCache>
            </c:strRef>
          </c:tx>
          <c:marker>
            <c:symbol val="none"/>
          </c:marker>
          <c:cat>
            <c:strRef>
              <c:f>Mesi!$K$57:$K$68</c:f>
              <c:strCache>
                <c:ptCount val="12"/>
                <c:pt idx="0">
                  <c:v>gen</c:v>
                </c:pt>
                <c:pt idx="1">
                  <c:v>feb</c:v>
                </c:pt>
                <c:pt idx="2">
                  <c:v>mar</c:v>
                </c:pt>
                <c:pt idx="3">
                  <c:v>apr</c:v>
                </c:pt>
                <c:pt idx="4">
                  <c:v>mag</c:v>
                </c:pt>
                <c:pt idx="5">
                  <c:v>giu</c:v>
                </c:pt>
                <c:pt idx="6">
                  <c:v>lug</c:v>
                </c:pt>
                <c:pt idx="7">
                  <c:v>ago</c:v>
                </c:pt>
                <c:pt idx="8">
                  <c:v>set</c:v>
                </c:pt>
                <c:pt idx="9">
                  <c:v>ott</c:v>
                </c:pt>
                <c:pt idx="10">
                  <c:v>nov</c:v>
                </c:pt>
                <c:pt idx="11">
                  <c:v>dic</c:v>
                </c:pt>
              </c:strCache>
            </c:strRef>
          </c:cat>
          <c:val>
            <c:numRef>
              <c:f>Mesi!$O$57:$O$68</c:f>
              <c:numCache>
                <c:formatCode>0.0%</c:formatCode>
                <c:ptCount val="12"/>
                <c:pt idx="0">
                  <c:v>-0.76809386867400198</c:v>
                </c:pt>
                <c:pt idx="1">
                  <c:v>-0.42971867012214188</c:v>
                </c:pt>
                <c:pt idx="2">
                  <c:v>-0.28413710442678464</c:v>
                </c:pt>
                <c:pt idx="3">
                  <c:v>-0.15560412632946241</c:v>
                </c:pt>
                <c:pt idx="4">
                  <c:v>-0.31184332375824675</c:v>
                </c:pt>
                <c:pt idx="5">
                  <c:v>-0.69356299894384099</c:v>
                </c:pt>
                <c:pt idx="6">
                  <c:v>0.47589349038477063</c:v>
                </c:pt>
                <c:pt idx="7">
                  <c:v>0.75902412637184524</c:v>
                </c:pt>
                <c:pt idx="8">
                  <c:v>6.5722555018360274E-2</c:v>
                </c:pt>
                <c:pt idx="9">
                  <c:v>-0.17901318419598036</c:v>
                </c:pt>
                <c:pt idx="10">
                  <c:v>6.2756212137451348E-2</c:v>
                </c:pt>
                <c:pt idx="11">
                  <c:v>-0.13731280299435111</c:v>
                </c:pt>
              </c:numCache>
            </c:numRef>
          </c:val>
          <c:extLst xmlns:c16r2="http://schemas.microsoft.com/office/drawing/2015/06/chart">
            <c:ext xmlns:c16="http://schemas.microsoft.com/office/drawing/2014/chart" uri="{C3380CC4-5D6E-409C-BE32-E72D297353CC}">
              <c16:uniqueId val="{00000000-61EF-4381-9039-2CF2FBFCC969}"/>
            </c:ext>
          </c:extLst>
        </c:ser>
        <c:ser>
          <c:idx val="1"/>
          <c:order val="1"/>
          <c:tx>
            <c:strRef>
              <c:f>Mesi!$P$56</c:f>
              <c:strCache>
                <c:ptCount val="1"/>
                <c:pt idx="0">
                  <c:v>Diff. % 17/16 USA</c:v>
                </c:pt>
              </c:strCache>
            </c:strRef>
          </c:tx>
          <c:marker>
            <c:symbol val="none"/>
          </c:marker>
          <c:cat>
            <c:strRef>
              <c:f>Mesi!$K$57:$K$68</c:f>
              <c:strCache>
                <c:ptCount val="12"/>
                <c:pt idx="0">
                  <c:v>gen</c:v>
                </c:pt>
                <c:pt idx="1">
                  <c:v>feb</c:v>
                </c:pt>
                <c:pt idx="2">
                  <c:v>mar</c:v>
                </c:pt>
                <c:pt idx="3">
                  <c:v>apr</c:v>
                </c:pt>
                <c:pt idx="4">
                  <c:v>mag</c:v>
                </c:pt>
                <c:pt idx="5">
                  <c:v>giu</c:v>
                </c:pt>
                <c:pt idx="6">
                  <c:v>lug</c:v>
                </c:pt>
                <c:pt idx="7">
                  <c:v>ago</c:v>
                </c:pt>
                <c:pt idx="8">
                  <c:v>set</c:v>
                </c:pt>
                <c:pt idx="9">
                  <c:v>ott</c:v>
                </c:pt>
                <c:pt idx="10">
                  <c:v>nov</c:v>
                </c:pt>
                <c:pt idx="11">
                  <c:v>dic</c:v>
                </c:pt>
              </c:strCache>
            </c:strRef>
          </c:cat>
          <c:val>
            <c:numRef>
              <c:f>Mesi!$P$57:$P$68</c:f>
              <c:numCache>
                <c:formatCode>0.0%</c:formatCode>
                <c:ptCount val="12"/>
                <c:pt idx="0">
                  <c:v>0.40131532274754084</c:v>
                </c:pt>
                <c:pt idx="1">
                  <c:v>-1.6315833425333343E-2</c:v>
                </c:pt>
                <c:pt idx="2">
                  <c:v>0.23613623746502477</c:v>
                </c:pt>
                <c:pt idx="3">
                  <c:v>0.37135282283644994</c:v>
                </c:pt>
                <c:pt idx="4">
                  <c:v>-0.24533621196059491</c:v>
                </c:pt>
                <c:pt idx="5">
                  <c:v>-0.13377227693632171</c:v>
                </c:pt>
                <c:pt idx="6">
                  <c:v>0.49160328151793242</c:v>
                </c:pt>
                <c:pt idx="7">
                  <c:v>-0.26033472246405831</c:v>
                </c:pt>
                <c:pt idx="8">
                  <c:v>-0.18224690316571832</c:v>
                </c:pt>
                <c:pt idx="9">
                  <c:v>-0.24190517141843032</c:v>
                </c:pt>
                <c:pt idx="10">
                  <c:v>-5.4581690294766692E-2</c:v>
                </c:pt>
                <c:pt idx="11">
                  <c:v>0.44957817197875316</c:v>
                </c:pt>
              </c:numCache>
            </c:numRef>
          </c:val>
          <c:extLst xmlns:c16r2="http://schemas.microsoft.com/office/drawing/2015/06/chart">
            <c:ext xmlns:c16="http://schemas.microsoft.com/office/drawing/2014/chart" uri="{C3380CC4-5D6E-409C-BE32-E72D297353CC}">
              <c16:uniqueId val="{00000001-61EF-4381-9039-2CF2FBFCC969}"/>
            </c:ext>
          </c:extLst>
        </c:ser>
        <c:marker val="1"/>
        <c:axId val="165803520"/>
        <c:axId val="165805056"/>
      </c:lineChart>
      <c:catAx>
        <c:axId val="165803520"/>
        <c:scaling>
          <c:orientation val="minMax"/>
        </c:scaling>
        <c:axPos val="b"/>
        <c:numFmt formatCode="General" sourceLinked="0"/>
        <c:majorTickMark val="none"/>
        <c:tickLblPos val="nextTo"/>
        <c:crossAx val="165805056"/>
        <c:crosses val="autoZero"/>
        <c:auto val="1"/>
        <c:lblAlgn val="ctr"/>
        <c:lblOffset val="100"/>
      </c:catAx>
      <c:valAx>
        <c:axId val="165805056"/>
        <c:scaling>
          <c:orientation val="minMax"/>
        </c:scaling>
        <c:axPos val="l"/>
        <c:majorGridlines/>
        <c:numFmt formatCode="0.0%" sourceLinked="1"/>
        <c:majorTickMark val="none"/>
        <c:tickLblPos val="nextTo"/>
        <c:crossAx val="165803520"/>
        <c:crosses val="autoZero"/>
        <c:crossBetween val="between"/>
      </c:valAx>
      <c:dTable>
        <c:showHorzBorder val="1"/>
        <c:showVertBorder val="1"/>
        <c:showOutline val="1"/>
        <c:showKeys val="1"/>
        <c:txPr>
          <a:bodyPr/>
          <a:lstStyle/>
          <a:p>
            <a:pPr rtl="0">
              <a:defRPr sz="800" b="1"/>
            </a:pPr>
            <a:endParaRPr lang="it-IT"/>
          </a:p>
        </c:txPr>
      </c:dTable>
    </c:plotArea>
    <c:plotVisOnly val="1"/>
    <c:dispBlanksAs val="gap"/>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41015-678A-4730-8ACC-50EFFDBD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1777</Words>
  <Characters>10129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gbigoni</dc:creator>
  <cp:lastModifiedBy>a.zaccone</cp:lastModifiedBy>
  <cp:revision>2</cp:revision>
  <cp:lastPrinted>2017-01-09T13:50:00Z</cp:lastPrinted>
  <dcterms:created xsi:type="dcterms:W3CDTF">2018-01-10T16:18:00Z</dcterms:created>
  <dcterms:modified xsi:type="dcterms:W3CDTF">2018-01-10T16:18:00Z</dcterms:modified>
</cp:coreProperties>
</file>