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CE5C1" w14:textId="77777777" w:rsidR="008A0F90" w:rsidRDefault="005E7E83" w:rsidP="00D767B0">
      <w:pPr>
        <w:tabs>
          <w:tab w:val="left" w:pos="740"/>
        </w:tabs>
        <w:jc w:val="both"/>
        <w:rPr>
          <w:noProof/>
          <w:color w:val="548DD4" w:themeColor="text2" w:themeTint="99"/>
          <w:sz w:val="48"/>
          <w:szCs w:val="48"/>
        </w:rPr>
      </w:pPr>
      <w:bookmarkStart w:id="0" w:name="_GoBack"/>
      <w:bookmarkEnd w:id="0"/>
      <w:r w:rsidRPr="005E7E83">
        <w:rPr>
          <w:noProof/>
          <w:color w:val="548DD4" w:themeColor="text2" w:themeTint="99"/>
          <w:sz w:val="48"/>
          <w:szCs w:val="48"/>
        </w:rPr>
        <w:drawing>
          <wp:anchor distT="0" distB="0" distL="114300" distR="114300" simplePos="0" relativeHeight="251664384" behindDoc="1" locked="1" layoutInCell="1" allowOverlap="1" wp14:anchorId="1ED768B9" wp14:editId="391E2FC3">
            <wp:simplePos x="0" y="0"/>
            <wp:positionH relativeFrom="column">
              <wp:posOffset>-2171700</wp:posOffset>
            </wp:positionH>
            <wp:positionV relativeFrom="page">
              <wp:posOffset>-38735</wp:posOffset>
            </wp:positionV>
            <wp:extent cx="7598410" cy="107442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_intestata_filiera.jp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10744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70292" w14:textId="77777777" w:rsidR="005E7E83" w:rsidRDefault="005E7E83" w:rsidP="00D767B0">
      <w:pPr>
        <w:tabs>
          <w:tab w:val="left" w:pos="3510"/>
        </w:tabs>
        <w:jc w:val="both"/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</w:p>
    <w:p w14:paraId="3F244D94" w14:textId="77777777" w:rsidR="0038706E" w:rsidRDefault="0038706E" w:rsidP="00D767B0">
      <w:pPr>
        <w:tabs>
          <w:tab w:val="left" w:pos="3510"/>
        </w:tabs>
        <w:jc w:val="both"/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</w:p>
    <w:p w14:paraId="106CB382" w14:textId="77777777" w:rsidR="008A0F90" w:rsidRPr="00732D85" w:rsidRDefault="008A0F90" w:rsidP="0038706E">
      <w:pPr>
        <w:tabs>
          <w:tab w:val="left" w:pos="3510"/>
        </w:tabs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  <w:r w:rsidRPr="00732D85"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  <w:t xml:space="preserve">Detrazione per acquisti di libri, quotidiani e periodici </w:t>
      </w:r>
    </w:p>
    <w:p w14:paraId="5282E775" w14:textId="77777777" w:rsidR="0038706E" w:rsidRDefault="0038706E" w:rsidP="0038706E">
      <w:pPr>
        <w:tabs>
          <w:tab w:val="left" w:pos="740"/>
        </w:tabs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</w:pPr>
    </w:p>
    <w:p w14:paraId="352F3DCC" w14:textId="77777777" w:rsidR="008A0F90" w:rsidRDefault="008A0F90" w:rsidP="0038706E">
      <w:pPr>
        <w:tabs>
          <w:tab w:val="left" w:pos="740"/>
        </w:tabs>
        <w:rPr>
          <w:rFonts w:ascii="Calibri Light" w:eastAsiaTheme="majorEastAsia" w:hAnsi="Calibri Light" w:cstheme="majorBidi"/>
          <w:b/>
          <w:i/>
          <w:color w:val="548DD4" w:themeColor="text2" w:themeTint="99"/>
          <w:kern w:val="28"/>
          <w:sz w:val="32"/>
          <w:szCs w:val="32"/>
          <w:lang w:eastAsia="ja-JP"/>
        </w:rPr>
      </w:pPr>
      <w:r w:rsidRPr="00732D85"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  <w:t>Una proposta della Filiera della Carta, Editoria, Stampa e Trasformazione</w:t>
      </w:r>
      <w:r w:rsidR="00C604C3" w:rsidRPr="00732D85"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  <w:t xml:space="preserve"> </w:t>
      </w:r>
      <w:r w:rsidR="00C604C3" w:rsidRPr="00167972">
        <w:rPr>
          <w:rFonts w:ascii="Calibri Light" w:eastAsiaTheme="majorEastAsia" w:hAnsi="Calibri Light" w:cstheme="majorBidi"/>
          <w:b/>
          <w:i/>
          <w:color w:val="548DD4" w:themeColor="text2" w:themeTint="99"/>
          <w:kern w:val="28"/>
          <w:sz w:val="32"/>
          <w:szCs w:val="32"/>
          <w:lang w:eastAsia="ja-JP"/>
        </w:rPr>
        <w:t>per promuovere la lettura</w:t>
      </w:r>
    </w:p>
    <w:p w14:paraId="70627E18" w14:textId="77777777" w:rsidR="005E7E83" w:rsidRDefault="005E7E83" w:rsidP="002D3C37">
      <w:pPr>
        <w:ind w:left="2268"/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</w:pPr>
      <w:r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  <w:br w:type="page"/>
      </w:r>
    </w:p>
    <w:p w14:paraId="0D8C4766" w14:textId="77777777" w:rsidR="00F56A54" w:rsidRDefault="00791E0C" w:rsidP="00D767B0">
      <w:pPr>
        <w:ind w:left="-2126" w:right="-147"/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5152E573" wp14:editId="077B2AE9">
                <wp:simplePos x="0" y="0"/>
                <wp:positionH relativeFrom="margin">
                  <wp:posOffset>-1371600</wp:posOffset>
                </wp:positionH>
                <wp:positionV relativeFrom="page">
                  <wp:posOffset>424180</wp:posOffset>
                </wp:positionV>
                <wp:extent cx="6064885" cy="426720"/>
                <wp:effectExtent l="0" t="0" r="5715" b="5080"/>
                <wp:wrapSquare wrapText="bothSides"/>
                <wp:docPr id="2" name="Rettangol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4267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A968581" w14:textId="121E4AFA" w:rsidR="002D3C37" w:rsidRPr="006310E0" w:rsidRDefault="002D3C37" w:rsidP="00791E0C">
                                <w:pPr>
                                  <w:pStyle w:val="Intestazione"/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C0F88"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DETRAZIONE PER ACQUISTI DI LIBRI, QUOTIDIANI E PERIODICI</w:t>
                                </w:r>
                                <w:r w:rsidR="00E51084"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0F88"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UNA PROPOSTA DELLA FILIERA DELLA CARTA, EDITORIA, STAMPA E TRASFORMAZIONE - 16 MARZO 2016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52E573" id="Rettangolo 197" o:spid="_x0000_s1026" style="position:absolute;left:0;text-align:left;margin-left:-108pt;margin-top:33.4pt;width:477.55pt;height:33.6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" o:allowoverlap="f" fillcolor="#4f81bd [3204]" stroked="f" strokeweight="2pt">
                <v:path arrowok="t"/>
                <v:textbox style="mso-fit-shape-to-text:t"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5A968581" w14:textId="121E4AFA" w:rsidR="002D3C37" w:rsidRPr="006310E0" w:rsidRDefault="002D3C37" w:rsidP="00791E0C">
                          <w:pPr>
                            <w:pStyle w:val="Intestazione"/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C0F88"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DETRAZIONE PER ACQUISTI DI LIBRI, QUOTIDIANI E PERIODICI</w:t>
                          </w:r>
                          <w:r w:rsidR="00E51084"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0F88"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UNA PROPOSTA DELLA FILIERA DELLA CARTA, EDITORIA, STAMPA E TRASFORMAZIONE - 16 MARZO 2016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599BBE17" w14:textId="77777777" w:rsidR="00791E0C" w:rsidRPr="00F53168" w:rsidRDefault="00791E0C" w:rsidP="00D767B0">
      <w:pPr>
        <w:ind w:left="-2126" w:right="-147"/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</w:pPr>
      <w:r w:rsidRPr="00F53168"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  <w:t>Premessa</w:t>
      </w:r>
    </w:p>
    <w:p w14:paraId="46D84E60" w14:textId="77777777" w:rsidR="00791E0C" w:rsidRPr="00585ED7" w:rsidRDefault="00791E0C" w:rsidP="00D767B0">
      <w:pPr>
        <w:ind w:left="-2126" w:right="-147"/>
        <w:jc w:val="both"/>
        <w:rPr>
          <w:rFonts w:ascii="Century Gothic" w:eastAsia="Times New Roman" w:hAnsi="Century Gothic"/>
          <w:sz w:val="24"/>
          <w:szCs w:val="24"/>
        </w:rPr>
      </w:pPr>
    </w:p>
    <w:p w14:paraId="7343806E" w14:textId="77777777" w:rsidR="00791E0C" w:rsidRPr="00585ED7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585ED7">
        <w:rPr>
          <w:rFonts w:ascii="Century Gothic" w:hAnsi="Century Gothic"/>
          <w:sz w:val="24"/>
          <w:szCs w:val="24"/>
        </w:rPr>
        <w:t xml:space="preserve">Gli indici di lettura di libri in Italia sono fra i più bassi al mondo: </w:t>
      </w:r>
      <w:r w:rsidR="00F765B4" w:rsidRPr="00585ED7">
        <w:rPr>
          <w:rFonts w:ascii="Century Gothic" w:hAnsi="Century Gothic"/>
          <w:sz w:val="24"/>
          <w:szCs w:val="24"/>
        </w:rPr>
        <w:t xml:space="preserve">i </w:t>
      </w:r>
      <w:r w:rsidRPr="00585ED7">
        <w:rPr>
          <w:rFonts w:ascii="Century Gothic" w:hAnsi="Century Gothic"/>
          <w:sz w:val="24"/>
          <w:szCs w:val="24"/>
        </w:rPr>
        <w:t xml:space="preserve">lettori di almeno un libro non scolastico nei 12 mesi precedenti nella popolazione con più di 6 anni sono calati dal 46,8% (2010) al 42,0% (2015) (elaborazione AIE su dati Istat). I lettori abituali di quotidiani rappresentano oggi il 35,3% della popolazione (40,6 nel 2013) e per i periodici tale quota raggiungeva il 58,4% nel 2013, mentre oggi </w:t>
      </w:r>
      <w:r w:rsidR="00E83EA7" w:rsidRPr="00585ED7">
        <w:rPr>
          <w:rFonts w:ascii="Century Gothic" w:hAnsi="Century Gothic"/>
          <w:sz w:val="24"/>
          <w:szCs w:val="24"/>
        </w:rPr>
        <w:t xml:space="preserve">si attesta al </w:t>
      </w:r>
      <w:r w:rsidRPr="00585ED7">
        <w:rPr>
          <w:rFonts w:ascii="Century Gothic" w:hAnsi="Century Gothic"/>
          <w:sz w:val="24"/>
          <w:szCs w:val="24"/>
        </w:rPr>
        <w:t>47,2% (Audipress).</w:t>
      </w:r>
    </w:p>
    <w:p w14:paraId="7FA2E7B4" w14:textId="77777777" w:rsidR="00791E0C" w:rsidRPr="00585ED7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14:paraId="279FEC63" w14:textId="77777777" w:rsidR="00791E0C" w:rsidRPr="00585ED7" w:rsidRDefault="00F765B4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585ED7">
        <w:rPr>
          <w:rFonts w:ascii="Century Gothic" w:hAnsi="Century Gothic"/>
          <w:sz w:val="24"/>
          <w:szCs w:val="24"/>
        </w:rPr>
        <w:t>L’is</w:t>
      </w:r>
      <w:r w:rsidR="00791E0C" w:rsidRPr="00585ED7">
        <w:rPr>
          <w:rFonts w:ascii="Century Gothic" w:hAnsi="Century Gothic"/>
          <w:sz w:val="24"/>
          <w:szCs w:val="24"/>
        </w:rPr>
        <w:t>tituzione di un’agevolazione per chi legge o di un invito al “consumo” per chi non legge può efficacemente avvenire anche attraverso il riconoscimento di una detrazione dai redditi delle persone fisiche delle spese in acquisto di libri, quotidiani e periodici, in qualsiasi forma siano essi veicolati, secondo un meccanismo in tutto corrispondente a quello previsto per altri tipi di spese giudicate rilevanti per la vita di ogni giorno</w:t>
      </w:r>
      <w:r w:rsidRPr="00585ED7">
        <w:rPr>
          <w:rFonts w:ascii="Century Gothic" w:hAnsi="Century Gothic"/>
          <w:sz w:val="24"/>
          <w:szCs w:val="24"/>
        </w:rPr>
        <w:t xml:space="preserve"> (</w:t>
      </w:r>
      <w:r w:rsidR="00791E0C" w:rsidRPr="00585ED7">
        <w:rPr>
          <w:rFonts w:ascii="Century Gothic" w:hAnsi="Century Gothic"/>
          <w:sz w:val="24"/>
          <w:szCs w:val="24"/>
        </w:rPr>
        <w:t>ad esempio per l</w:t>
      </w:r>
      <w:r w:rsidR="00810251" w:rsidRPr="00585ED7">
        <w:rPr>
          <w:rFonts w:ascii="Century Gothic" w:hAnsi="Century Gothic"/>
          <w:sz w:val="24"/>
          <w:szCs w:val="24"/>
        </w:rPr>
        <w:t>’</w:t>
      </w:r>
      <w:r w:rsidR="00791E0C" w:rsidRPr="00585ED7">
        <w:rPr>
          <w:rFonts w:ascii="Century Gothic" w:hAnsi="Century Gothic"/>
          <w:sz w:val="24"/>
          <w:szCs w:val="24"/>
        </w:rPr>
        <w:t xml:space="preserve">acquisto </w:t>
      </w:r>
      <w:r w:rsidR="00585ED7">
        <w:rPr>
          <w:rFonts w:ascii="Century Gothic" w:hAnsi="Century Gothic"/>
          <w:sz w:val="24"/>
          <w:szCs w:val="24"/>
        </w:rPr>
        <w:t xml:space="preserve">di </w:t>
      </w:r>
      <w:r w:rsidR="00791E0C" w:rsidRPr="00585ED7">
        <w:rPr>
          <w:rFonts w:ascii="Century Gothic" w:hAnsi="Century Gothic"/>
          <w:sz w:val="24"/>
          <w:szCs w:val="24"/>
        </w:rPr>
        <w:t xml:space="preserve">farmaci e </w:t>
      </w:r>
      <w:r w:rsidR="00585ED7">
        <w:rPr>
          <w:rFonts w:ascii="Century Gothic" w:hAnsi="Century Gothic"/>
          <w:sz w:val="24"/>
          <w:szCs w:val="24"/>
        </w:rPr>
        <w:t xml:space="preserve">per </w:t>
      </w:r>
      <w:r w:rsidR="00791E0C" w:rsidRPr="00585ED7">
        <w:rPr>
          <w:rFonts w:ascii="Century Gothic" w:hAnsi="Century Gothic"/>
          <w:sz w:val="24"/>
          <w:szCs w:val="24"/>
        </w:rPr>
        <w:t>spese di istruzione secondaria e universitaria</w:t>
      </w:r>
      <w:r w:rsidRPr="00585ED7">
        <w:rPr>
          <w:rFonts w:ascii="Century Gothic" w:hAnsi="Century Gothic"/>
          <w:sz w:val="24"/>
          <w:szCs w:val="24"/>
        </w:rPr>
        <w:t>)</w:t>
      </w:r>
      <w:r w:rsidR="00791E0C" w:rsidRPr="00585ED7">
        <w:rPr>
          <w:rFonts w:ascii="Century Gothic" w:hAnsi="Century Gothic"/>
          <w:sz w:val="24"/>
          <w:szCs w:val="24"/>
        </w:rPr>
        <w:t>.</w:t>
      </w:r>
    </w:p>
    <w:p w14:paraId="3D3C5F84" w14:textId="77777777" w:rsidR="00791E0C" w:rsidRPr="00585ED7" w:rsidRDefault="00791E0C" w:rsidP="00D767B0">
      <w:pPr>
        <w:ind w:left="-2126" w:right="-147"/>
        <w:jc w:val="both"/>
        <w:rPr>
          <w:rFonts w:ascii="Century Gothic" w:hAnsi="Century Gothic"/>
          <w:strike/>
          <w:sz w:val="24"/>
          <w:szCs w:val="24"/>
        </w:rPr>
      </w:pPr>
    </w:p>
    <w:p w14:paraId="502924B7" w14:textId="77777777" w:rsidR="00791E0C" w:rsidRPr="00585ED7" w:rsidRDefault="00F765B4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585ED7">
        <w:rPr>
          <w:rFonts w:ascii="Century Gothic" w:hAnsi="Century Gothic"/>
          <w:sz w:val="24"/>
          <w:szCs w:val="24"/>
        </w:rPr>
        <w:t xml:space="preserve">La </w:t>
      </w:r>
      <w:r w:rsidR="00791E0C" w:rsidRPr="00585ED7">
        <w:rPr>
          <w:rFonts w:ascii="Century Gothic" w:hAnsi="Century Gothic"/>
          <w:sz w:val="24"/>
          <w:szCs w:val="24"/>
        </w:rPr>
        <w:t xml:space="preserve">misura fiscale </w:t>
      </w:r>
      <w:r w:rsidRPr="00585ED7">
        <w:rPr>
          <w:rFonts w:ascii="Century Gothic" w:hAnsi="Century Gothic"/>
          <w:sz w:val="24"/>
          <w:szCs w:val="24"/>
        </w:rPr>
        <w:t xml:space="preserve">proposta </w:t>
      </w:r>
      <w:r w:rsidR="00791E0C" w:rsidRPr="00585ED7">
        <w:rPr>
          <w:rFonts w:ascii="Century Gothic" w:hAnsi="Century Gothic"/>
          <w:sz w:val="24"/>
          <w:szCs w:val="24"/>
        </w:rPr>
        <w:t>contribuirebbe in modo equilibrato, e in forma non distorsiva della concorrenza, a sostenere la lettura presso il pubblico</w:t>
      </w:r>
      <w:r w:rsidR="00585ED7">
        <w:rPr>
          <w:rFonts w:ascii="Century Gothic" w:hAnsi="Century Gothic"/>
          <w:sz w:val="24"/>
          <w:szCs w:val="24"/>
        </w:rPr>
        <w:t>,</w:t>
      </w:r>
      <w:r w:rsidR="00791E0C" w:rsidRPr="00585ED7">
        <w:rPr>
          <w:rFonts w:ascii="Century Gothic" w:hAnsi="Century Gothic"/>
          <w:sz w:val="24"/>
          <w:szCs w:val="24"/>
        </w:rPr>
        <w:t xml:space="preserve"> soddisfacendo le esigenze di intrattenimento, di studio, di informazione e di accrescimento culturale e professionale della popolazione, in tutte le sue fasce di età: anche i soggetti privi di reddito (bambini e ragazzi in età scolare) possono godere del beneficio attraverso i propri genitori. Lo sviluppo culturale e sociale che ne deriverebbe contribuirebbe tra l’altro all’esercizio di diritti costituzionalmente garantiti, come quello di eguaglianza</w:t>
      </w:r>
      <w:r w:rsidR="00585ED7">
        <w:rPr>
          <w:rFonts w:ascii="Century Gothic" w:hAnsi="Century Gothic"/>
          <w:sz w:val="24"/>
          <w:szCs w:val="24"/>
        </w:rPr>
        <w:t xml:space="preserve"> e</w:t>
      </w:r>
      <w:r w:rsidR="00791E0C" w:rsidRPr="00585ED7">
        <w:rPr>
          <w:rFonts w:ascii="Century Gothic" w:hAnsi="Century Gothic"/>
          <w:sz w:val="24"/>
          <w:szCs w:val="24"/>
        </w:rPr>
        <w:t xml:space="preserve"> di libertà di espressione</w:t>
      </w:r>
      <w:r w:rsidR="00585ED7">
        <w:rPr>
          <w:rFonts w:ascii="Century Gothic" w:hAnsi="Century Gothic"/>
          <w:sz w:val="24"/>
          <w:szCs w:val="24"/>
        </w:rPr>
        <w:t>,</w:t>
      </w:r>
      <w:r w:rsidR="00791E0C" w:rsidRPr="00585ED7">
        <w:rPr>
          <w:rFonts w:ascii="Century Gothic" w:hAnsi="Century Gothic"/>
          <w:sz w:val="24"/>
          <w:szCs w:val="24"/>
        </w:rPr>
        <w:t xml:space="preserve"> e al diritto allo studio. </w:t>
      </w:r>
    </w:p>
    <w:p w14:paraId="5572718C" w14:textId="77777777" w:rsidR="00791E0C" w:rsidRPr="00585ED7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14:paraId="227AE55F" w14:textId="37D7438B" w:rsidR="00791E0C" w:rsidRPr="00585ED7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585ED7">
        <w:rPr>
          <w:rFonts w:ascii="Century Gothic" w:hAnsi="Century Gothic"/>
          <w:sz w:val="24"/>
          <w:szCs w:val="24"/>
        </w:rPr>
        <w:t>Si propone</w:t>
      </w:r>
      <w:r w:rsidR="00585ED7">
        <w:rPr>
          <w:rFonts w:ascii="Century Gothic" w:hAnsi="Century Gothic"/>
          <w:sz w:val="24"/>
          <w:szCs w:val="24"/>
        </w:rPr>
        <w:t xml:space="preserve">, </w:t>
      </w:r>
      <w:r w:rsidRPr="00585ED7">
        <w:rPr>
          <w:rFonts w:ascii="Century Gothic" w:hAnsi="Century Gothic"/>
          <w:sz w:val="24"/>
          <w:szCs w:val="24"/>
        </w:rPr>
        <w:t>quindi</w:t>
      </w:r>
      <w:r w:rsidR="00585ED7">
        <w:rPr>
          <w:rFonts w:ascii="Century Gothic" w:hAnsi="Century Gothic"/>
          <w:sz w:val="24"/>
          <w:szCs w:val="24"/>
        </w:rPr>
        <w:t>,</w:t>
      </w:r>
      <w:r w:rsidRPr="00585ED7">
        <w:rPr>
          <w:rFonts w:ascii="Century Gothic" w:hAnsi="Century Gothic"/>
          <w:sz w:val="24"/>
          <w:szCs w:val="24"/>
        </w:rPr>
        <w:t xml:space="preserve"> una modifica all’art. 15, comma 1 del DPR 22 dicembre 1986 n. 917</w:t>
      </w:r>
      <w:r w:rsidR="00585ED7">
        <w:rPr>
          <w:rFonts w:ascii="Century Gothic" w:hAnsi="Century Gothic"/>
          <w:sz w:val="24"/>
          <w:szCs w:val="24"/>
        </w:rPr>
        <w:t>,</w:t>
      </w:r>
      <w:r w:rsidR="00E51084">
        <w:rPr>
          <w:rFonts w:ascii="Century Gothic" w:hAnsi="Century Gothic"/>
          <w:sz w:val="24"/>
          <w:szCs w:val="24"/>
        </w:rPr>
        <w:t xml:space="preserve"> in</w:t>
      </w:r>
      <w:r w:rsidRPr="00585ED7">
        <w:rPr>
          <w:rFonts w:ascii="Century Gothic" w:hAnsi="Century Gothic"/>
          <w:sz w:val="24"/>
          <w:szCs w:val="24"/>
        </w:rPr>
        <w:t>serendo la possibilità di detrazione delle predette spese</w:t>
      </w:r>
      <w:r w:rsidR="00E51084">
        <w:rPr>
          <w:rFonts w:ascii="Century Gothic" w:hAnsi="Century Gothic"/>
          <w:sz w:val="24"/>
          <w:szCs w:val="24"/>
        </w:rPr>
        <w:t xml:space="preserve"> e</w:t>
      </w:r>
      <w:r w:rsidRPr="00585ED7">
        <w:rPr>
          <w:rFonts w:ascii="Century Gothic" w:hAnsi="Century Gothic"/>
          <w:sz w:val="24"/>
          <w:szCs w:val="24"/>
        </w:rPr>
        <w:t xml:space="preserve"> individuando, ai fini del contenimento dell’onere a carico dello Stato e degli oneri procedurali, un limite massimo e una franchigia minima di spesa agevolabile. Occorre peraltro considerare che le possibili minori entrate iniziali possono essere ragionevolmente compensate a regime, almeno in parte, da un maggior gettito derivante dall’aumento dei consumi.</w:t>
      </w:r>
    </w:p>
    <w:p w14:paraId="5FBE3B5C" w14:textId="77777777" w:rsidR="00791E0C" w:rsidRPr="00585ED7" w:rsidRDefault="00791E0C" w:rsidP="00D767B0">
      <w:pPr>
        <w:ind w:left="-2126" w:right="-147"/>
        <w:jc w:val="both"/>
        <w:rPr>
          <w:rFonts w:ascii="Century Gothic" w:eastAsia="Times New Roman" w:hAnsi="Century Gothic"/>
          <w:b/>
          <w:sz w:val="24"/>
          <w:szCs w:val="24"/>
        </w:rPr>
      </w:pPr>
    </w:p>
    <w:p w14:paraId="1FF82E10" w14:textId="77777777" w:rsidR="00791E0C" w:rsidRDefault="00791E0C" w:rsidP="00D767B0">
      <w:pPr>
        <w:ind w:left="-2126" w:right="-147"/>
        <w:jc w:val="both"/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</w:pPr>
      <w:r w:rsidRPr="00F53168"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  <w:t>La proposta</w:t>
      </w:r>
    </w:p>
    <w:p w14:paraId="0F0BD609" w14:textId="77777777" w:rsidR="00791E0C" w:rsidRPr="001A2FF2" w:rsidRDefault="00791E0C" w:rsidP="00D767B0">
      <w:pPr>
        <w:ind w:left="-2126" w:right="-147"/>
        <w:jc w:val="both"/>
        <w:rPr>
          <w:rFonts w:ascii="Century Gothic" w:eastAsia="Times New Roman" w:hAnsi="Century Gothic"/>
          <w:b/>
          <w:color w:val="548DD4" w:themeColor="text2" w:themeTint="99"/>
          <w:sz w:val="24"/>
          <w:szCs w:val="24"/>
        </w:rPr>
      </w:pPr>
    </w:p>
    <w:p w14:paraId="541ECFEA" w14:textId="77777777" w:rsidR="00791E0C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1A2FF2">
        <w:rPr>
          <w:rFonts w:ascii="Century Gothic" w:hAnsi="Century Gothic"/>
          <w:sz w:val="24"/>
          <w:szCs w:val="24"/>
        </w:rPr>
        <w:t xml:space="preserve">Si </w:t>
      </w:r>
      <w:r w:rsidR="00810251">
        <w:rPr>
          <w:rFonts w:ascii="Century Gothic" w:hAnsi="Century Gothic"/>
          <w:sz w:val="24"/>
          <w:szCs w:val="24"/>
        </w:rPr>
        <w:t xml:space="preserve">suggerisce </w:t>
      </w:r>
      <w:r w:rsidRPr="001A2FF2">
        <w:rPr>
          <w:rFonts w:ascii="Century Gothic" w:hAnsi="Century Gothic"/>
          <w:sz w:val="24"/>
          <w:szCs w:val="24"/>
        </w:rPr>
        <w:t xml:space="preserve">una </w:t>
      </w:r>
      <w:r w:rsidRPr="001A2FF2">
        <w:rPr>
          <w:rFonts w:ascii="Century Gothic" w:hAnsi="Century Gothic"/>
          <w:b/>
          <w:sz w:val="24"/>
          <w:szCs w:val="24"/>
        </w:rPr>
        <w:t>detrazione dalle imposte su</w:t>
      </w:r>
      <w:r w:rsidR="00585ED7">
        <w:rPr>
          <w:rFonts w:ascii="Century Gothic" w:hAnsi="Century Gothic"/>
          <w:b/>
          <w:sz w:val="24"/>
          <w:szCs w:val="24"/>
        </w:rPr>
        <w:t xml:space="preserve">l reddito delle persone fisiche </w:t>
      </w:r>
      <w:r w:rsidRPr="001A2FF2">
        <w:rPr>
          <w:rFonts w:ascii="Century Gothic" w:hAnsi="Century Gothic"/>
          <w:b/>
          <w:sz w:val="24"/>
          <w:szCs w:val="24"/>
        </w:rPr>
        <w:t>per gli acquisti di libri, quotidiani e periodici in formato cartaceo o digitale, pari al 19% dell’importo speso nel corso dell’anno</w:t>
      </w:r>
      <w:r w:rsidRPr="001A2FF2">
        <w:rPr>
          <w:rFonts w:ascii="Century Gothic" w:hAnsi="Century Gothic"/>
          <w:sz w:val="24"/>
          <w:szCs w:val="24"/>
        </w:rPr>
        <w:t>.</w:t>
      </w:r>
    </w:p>
    <w:p w14:paraId="3D1B2A23" w14:textId="77777777" w:rsidR="00791E0C" w:rsidRPr="001A2FF2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14:paraId="562C4A4B" w14:textId="24B72704" w:rsidR="00791E0C" w:rsidRPr="001A2FF2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1A2FF2">
        <w:rPr>
          <w:rFonts w:ascii="Century Gothic" w:hAnsi="Century Gothic"/>
          <w:sz w:val="24"/>
          <w:szCs w:val="24"/>
        </w:rPr>
        <w:t xml:space="preserve">Il fatturato complessivo sviluppato verso privati consumatori per le vendite dei libri, quotidiani e periodici cartacei e digitali effettuate attraverso i consueti canali corrisponde a circa € 1.850 milioni. </w:t>
      </w:r>
    </w:p>
    <w:p w14:paraId="7C2B0751" w14:textId="77777777" w:rsidR="00791E0C" w:rsidRPr="001A2FF2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14:paraId="1D62CF8F" w14:textId="0209401C" w:rsidR="00791E0C" w:rsidRDefault="00F56A54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63360" behindDoc="1" locked="0" layoutInCell="1" allowOverlap="0" wp14:anchorId="55B2BD6C" wp14:editId="10FBE0AD">
                <wp:simplePos x="0" y="0"/>
                <wp:positionH relativeFrom="margin">
                  <wp:posOffset>-1371600</wp:posOffset>
                </wp:positionH>
                <wp:positionV relativeFrom="page">
                  <wp:posOffset>461645</wp:posOffset>
                </wp:positionV>
                <wp:extent cx="6051550" cy="426720"/>
                <wp:effectExtent l="0" t="0" r="0" b="5080"/>
                <wp:wrapSquare wrapText="bothSides"/>
                <wp:docPr id="3" name="Rettangol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4267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alias w:val="Titolo"/>
                              <w:tag w:val=""/>
                              <w:id w:val="118362366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BB503E7" w14:textId="246E9F98" w:rsidR="002D3C37" w:rsidRPr="006310E0" w:rsidRDefault="002D3C37" w:rsidP="00F56A54">
                                <w:pPr>
                                  <w:pStyle w:val="Intestazione"/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DETRAZIONE PER ACQUISTI DI LIBRI, QUOTIDIANI E PERIODICI</w:t>
                                </w:r>
                                <w:r w:rsidR="00E51084"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UNA PROPOSTA DELLA FILIERA DELLA CARTA, EDITORIA, STAMPA E TRASFORMAZIONE - 16 MARZO 2016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2BD6C" id="_x0000_s1027" style="position:absolute;left:0;text-align:left;margin-left:-108pt;margin-top:36.35pt;width:476.5pt;height:33.6pt;z-index:-25165312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" o:allowoverlap="f" fillcolor="#4f81bd [3204]" stroked="f" strokeweight="2pt">
                <v:path arrowok="t"/>
                <v:textbox style="mso-fit-shape-to-text:t"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0"/>
                          <w:szCs w:val="20"/>
                        </w:rPr>
                        <w:alias w:val="Titolo"/>
                        <w:tag w:val=""/>
                        <w:id w:val="118362366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BB503E7" w14:textId="246E9F98" w:rsidR="002D3C37" w:rsidRPr="006310E0" w:rsidRDefault="002D3C37" w:rsidP="00F56A54">
                          <w:pPr>
                            <w:pStyle w:val="Intestazione"/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DETRAZIONE PER ACQUISTI DI LIBRI, QUOTIDIANI E PERIODICI</w:t>
                          </w:r>
                          <w:r w:rsidR="00E51084"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UNA PROPOSTA DELLA FILIERA DELLA CARTA, EDITORIA, STAMPA E TRASFORMAZIONE - 16 MARZO 2016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="00791E0C" w:rsidRPr="001A2FF2">
        <w:rPr>
          <w:rFonts w:ascii="Century Gothic" w:hAnsi="Century Gothic"/>
          <w:sz w:val="24"/>
          <w:szCs w:val="24"/>
        </w:rPr>
        <w:t>Ai fini della copertura, tale importo deve essere peraltro ridotto considerando gli acquisti effettuati da persone fisiche esenti da imposte o con imposte complessive non capienti, gli acquisti effettuati da persone fisiche che non utilizzeranno del tutto o utilizzeranno solo in parte la detrazione e gli acquisti effettuati non da persone fisiche. Inoltre l’esigenza di copertura complessiva può essere ulteriormente ridimensionata individuando un tetto massimo della spesa per cui far valere la detrazione del 19% (1.000 euro) e una franchigia di spesa complessiva oltre la quale scatta la facoltà di detrazione (50 euro).</w:t>
      </w:r>
    </w:p>
    <w:p w14:paraId="72C15BC4" w14:textId="77777777" w:rsidR="00791E0C" w:rsidRPr="001A2FF2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</w:p>
    <w:p w14:paraId="7EEA5E98" w14:textId="601246AE" w:rsidR="00791E0C" w:rsidRPr="00810251" w:rsidRDefault="00791E0C" w:rsidP="00D767B0">
      <w:pPr>
        <w:ind w:left="-2126" w:right="-147"/>
        <w:jc w:val="both"/>
        <w:rPr>
          <w:rFonts w:ascii="Century Gothic" w:hAnsi="Century Gothic"/>
          <w:sz w:val="24"/>
          <w:szCs w:val="24"/>
        </w:rPr>
      </w:pPr>
      <w:r w:rsidRPr="00810251">
        <w:rPr>
          <w:rFonts w:ascii="Century Gothic" w:hAnsi="Century Gothic"/>
          <w:caps/>
          <w:sz w:val="24"/>
          <w:szCs w:val="24"/>
        </w:rPr>
        <w:t>i</w:t>
      </w:r>
      <w:r w:rsidRPr="00810251">
        <w:rPr>
          <w:rFonts w:ascii="Century Gothic" w:hAnsi="Century Gothic"/>
          <w:sz w:val="24"/>
          <w:szCs w:val="24"/>
        </w:rPr>
        <w:t xml:space="preserve">potizzando un incremento già al primo anno di avvio dell’iniziativa, è ragionevole ritenere che le predette considerazioni e i previsti limiti di valore consentono di limitare </w:t>
      </w:r>
      <w:r w:rsidRPr="00BF6EF3">
        <w:rPr>
          <w:rFonts w:ascii="Century Gothic" w:hAnsi="Century Gothic"/>
          <w:b/>
          <w:sz w:val="24"/>
          <w:szCs w:val="24"/>
        </w:rPr>
        <w:t xml:space="preserve">la copertura a un valore annuo </w:t>
      </w:r>
      <w:r w:rsidR="00DE2C8B">
        <w:rPr>
          <w:rFonts w:ascii="Century Gothic" w:hAnsi="Century Gothic"/>
          <w:b/>
          <w:sz w:val="24"/>
          <w:szCs w:val="24"/>
        </w:rPr>
        <w:t>inferiore a 200 milioni di euro</w:t>
      </w:r>
      <w:r w:rsidRPr="00810251">
        <w:rPr>
          <w:rFonts w:ascii="Century Gothic" w:hAnsi="Century Gothic"/>
          <w:sz w:val="24"/>
          <w:szCs w:val="24"/>
        </w:rPr>
        <w:t xml:space="preserve">. </w:t>
      </w:r>
      <w:r w:rsidR="00F765B4" w:rsidRPr="00810251">
        <w:rPr>
          <w:rFonts w:ascii="Century Gothic" w:hAnsi="Century Gothic"/>
          <w:sz w:val="24"/>
          <w:szCs w:val="24"/>
        </w:rPr>
        <w:t>Importo, p</w:t>
      </w:r>
      <w:r w:rsidRPr="00810251">
        <w:rPr>
          <w:rFonts w:ascii="Century Gothic" w:hAnsi="Century Gothic"/>
          <w:sz w:val="24"/>
          <w:szCs w:val="24"/>
        </w:rPr>
        <w:t>eraltro</w:t>
      </w:r>
      <w:r w:rsidR="00585ED7">
        <w:rPr>
          <w:rFonts w:ascii="Century Gothic" w:hAnsi="Century Gothic"/>
          <w:sz w:val="24"/>
          <w:szCs w:val="24"/>
        </w:rPr>
        <w:t>,</w:t>
      </w:r>
      <w:r w:rsidR="00DE2C8B">
        <w:rPr>
          <w:rFonts w:ascii="Century Gothic" w:hAnsi="Century Gothic"/>
          <w:sz w:val="24"/>
          <w:szCs w:val="24"/>
        </w:rPr>
        <w:t xml:space="preserve"> più basso di</w:t>
      </w:r>
      <w:r w:rsidRPr="00810251">
        <w:rPr>
          <w:rFonts w:ascii="Century Gothic" w:hAnsi="Century Gothic"/>
          <w:sz w:val="24"/>
          <w:szCs w:val="24"/>
        </w:rPr>
        <w:t xml:space="preserve"> quell</w:t>
      </w:r>
      <w:r w:rsidR="00F765B4" w:rsidRPr="00810251">
        <w:rPr>
          <w:rFonts w:ascii="Century Gothic" w:hAnsi="Century Gothic"/>
          <w:sz w:val="24"/>
          <w:szCs w:val="24"/>
        </w:rPr>
        <w:t>o</w:t>
      </w:r>
      <w:r w:rsidRPr="00810251">
        <w:rPr>
          <w:rFonts w:ascii="Century Gothic" w:hAnsi="Century Gothic"/>
          <w:sz w:val="24"/>
          <w:szCs w:val="24"/>
        </w:rPr>
        <w:t xml:space="preserve"> stanziat</w:t>
      </w:r>
      <w:r w:rsidR="00F765B4" w:rsidRPr="00810251">
        <w:rPr>
          <w:rFonts w:ascii="Century Gothic" w:hAnsi="Century Gothic"/>
          <w:sz w:val="24"/>
          <w:szCs w:val="24"/>
        </w:rPr>
        <w:t>o</w:t>
      </w:r>
      <w:r w:rsidRPr="00810251">
        <w:rPr>
          <w:rFonts w:ascii="Century Gothic" w:hAnsi="Century Gothic"/>
          <w:sz w:val="24"/>
          <w:szCs w:val="24"/>
        </w:rPr>
        <w:t xml:space="preserve"> per il Bonus Giovani dalla recente legge di Stabilità e di gran lunga più ridott</w:t>
      </w:r>
      <w:r w:rsidR="00F765B4" w:rsidRPr="00810251">
        <w:rPr>
          <w:rFonts w:ascii="Century Gothic" w:hAnsi="Century Gothic"/>
          <w:sz w:val="24"/>
          <w:szCs w:val="24"/>
        </w:rPr>
        <w:t>o</w:t>
      </w:r>
      <w:r w:rsidRPr="00810251">
        <w:rPr>
          <w:rFonts w:ascii="Century Gothic" w:hAnsi="Century Gothic"/>
          <w:sz w:val="24"/>
          <w:szCs w:val="24"/>
        </w:rPr>
        <w:t xml:space="preserve"> rispetto a quell</w:t>
      </w:r>
      <w:r w:rsidR="00F765B4" w:rsidRPr="00810251">
        <w:rPr>
          <w:rFonts w:ascii="Century Gothic" w:hAnsi="Century Gothic"/>
          <w:sz w:val="24"/>
          <w:szCs w:val="24"/>
        </w:rPr>
        <w:t>o</w:t>
      </w:r>
      <w:r w:rsidRPr="00810251">
        <w:rPr>
          <w:rFonts w:ascii="Century Gothic" w:hAnsi="Century Gothic"/>
          <w:sz w:val="24"/>
          <w:szCs w:val="24"/>
        </w:rPr>
        <w:t xml:space="preserve"> in progetto per il sostegno al mondo del cinema.</w:t>
      </w:r>
    </w:p>
    <w:p w14:paraId="003BD8BF" w14:textId="77777777" w:rsidR="00791E0C" w:rsidRPr="00810251" w:rsidRDefault="00791E0C" w:rsidP="00D767B0">
      <w:pPr>
        <w:ind w:left="-2126" w:right="-147"/>
      </w:pPr>
    </w:p>
    <w:p w14:paraId="12F6BDAE" w14:textId="77777777" w:rsidR="00791E0C" w:rsidRPr="00810251" w:rsidRDefault="00791E0C" w:rsidP="00D767B0">
      <w:pPr>
        <w:ind w:left="-2126" w:right="-147"/>
      </w:pPr>
    </w:p>
    <w:sectPr w:rsidR="00791E0C" w:rsidRPr="00810251" w:rsidSect="00D767B0">
      <w:footerReference w:type="default" r:id="rId9"/>
      <w:pgSz w:w="11906" w:h="16838"/>
      <w:pgMar w:top="1559" w:right="1134" w:bottom="1134" w:left="340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0970B" w14:textId="77777777" w:rsidR="002D2005" w:rsidRDefault="002D2005" w:rsidP="00FF3800">
      <w:r>
        <w:separator/>
      </w:r>
    </w:p>
  </w:endnote>
  <w:endnote w:type="continuationSeparator" w:id="0">
    <w:p w14:paraId="02EBE320" w14:textId="77777777" w:rsidR="002D2005" w:rsidRDefault="002D2005" w:rsidP="00F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929834"/>
      <w:docPartObj>
        <w:docPartGallery w:val="Page Numbers (Bottom of Page)"/>
        <w:docPartUnique/>
      </w:docPartObj>
    </w:sdtPr>
    <w:sdtEndPr>
      <w:rPr>
        <w:color w:val="548DD4" w:themeColor="text2" w:themeTint="99"/>
        <w:sz w:val="16"/>
        <w:szCs w:val="16"/>
      </w:rPr>
    </w:sdtEndPr>
    <w:sdtContent>
      <w:p w14:paraId="4E6C6A0F" w14:textId="77777777" w:rsidR="002D3C37" w:rsidRPr="00FF3800" w:rsidRDefault="002D2005">
        <w:pPr>
          <w:pStyle w:val="Pidipagina"/>
          <w:jc w:val="center"/>
          <w:rPr>
            <w:color w:val="548DD4" w:themeColor="text2" w:themeTint="99"/>
            <w:sz w:val="16"/>
            <w:szCs w:val="16"/>
          </w:rPr>
        </w:pPr>
      </w:p>
    </w:sdtContent>
  </w:sdt>
  <w:p w14:paraId="302DA49E" w14:textId="77777777" w:rsidR="002D3C37" w:rsidRDefault="002D3C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DB3E0" w14:textId="77777777" w:rsidR="002D2005" w:rsidRDefault="002D2005" w:rsidP="00FF3800">
      <w:r>
        <w:separator/>
      </w:r>
    </w:p>
  </w:footnote>
  <w:footnote w:type="continuationSeparator" w:id="0">
    <w:p w14:paraId="477C85F4" w14:textId="77777777" w:rsidR="002D2005" w:rsidRDefault="002D2005" w:rsidP="00FF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AAF"/>
    <w:multiLevelType w:val="hybridMultilevel"/>
    <w:tmpl w:val="F3CCA06C"/>
    <w:lvl w:ilvl="0" w:tplc="FE767C8C">
      <w:start w:val="1"/>
      <w:numFmt w:val="decimal"/>
      <w:pStyle w:val="Titoloniazzurri"/>
      <w:lvlText w:val="%1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818C5"/>
    <w:multiLevelType w:val="hybridMultilevel"/>
    <w:tmpl w:val="CE505F86"/>
    <w:lvl w:ilvl="0" w:tplc="375AE2AE">
      <w:start w:val="1"/>
      <w:numFmt w:val="decimal"/>
      <w:pStyle w:val="Titolettinoteinformative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0C"/>
    <w:rsid w:val="000A1AC4"/>
    <w:rsid w:val="0010394A"/>
    <w:rsid w:val="001175D6"/>
    <w:rsid w:val="00157C23"/>
    <w:rsid w:val="00167972"/>
    <w:rsid w:val="001C49EE"/>
    <w:rsid w:val="001D09C1"/>
    <w:rsid w:val="00206B07"/>
    <w:rsid w:val="00266DA0"/>
    <w:rsid w:val="002871A6"/>
    <w:rsid w:val="002A7643"/>
    <w:rsid w:val="002D2005"/>
    <w:rsid w:val="002D3C37"/>
    <w:rsid w:val="0038706E"/>
    <w:rsid w:val="004815AE"/>
    <w:rsid w:val="00507E29"/>
    <w:rsid w:val="00585ED7"/>
    <w:rsid w:val="005A3EAA"/>
    <w:rsid w:val="005A56C9"/>
    <w:rsid w:val="005E7E83"/>
    <w:rsid w:val="006100D3"/>
    <w:rsid w:val="00732D85"/>
    <w:rsid w:val="00753569"/>
    <w:rsid w:val="007842EB"/>
    <w:rsid w:val="00791E0C"/>
    <w:rsid w:val="00810251"/>
    <w:rsid w:val="00897741"/>
    <w:rsid w:val="008A0F90"/>
    <w:rsid w:val="00970004"/>
    <w:rsid w:val="00AA1199"/>
    <w:rsid w:val="00AD6330"/>
    <w:rsid w:val="00AF35F7"/>
    <w:rsid w:val="00BD53DD"/>
    <w:rsid w:val="00BF6EF3"/>
    <w:rsid w:val="00C604C3"/>
    <w:rsid w:val="00CB2039"/>
    <w:rsid w:val="00D33ADE"/>
    <w:rsid w:val="00D767B0"/>
    <w:rsid w:val="00DE2C8B"/>
    <w:rsid w:val="00E51084"/>
    <w:rsid w:val="00E83EA7"/>
    <w:rsid w:val="00F16608"/>
    <w:rsid w:val="00F56A54"/>
    <w:rsid w:val="00F765B4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79224"/>
  <w15:docId w15:val="{9F3B2F2B-60B6-4853-88F3-0BA25F4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Gish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E0C"/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0394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0394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Enfasicorsivo">
    <w:name w:val="Emphasis"/>
    <w:basedOn w:val="Carpredefinitoparagrafo"/>
    <w:uiPriority w:val="20"/>
    <w:qFormat/>
    <w:rsid w:val="0010394A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10394A"/>
    <w:rPr>
      <w:rFonts w:eastAsia="Times New Roman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0394A"/>
    <w:rPr>
      <w:rFonts w:ascii="Calibri" w:eastAsia="Times New Roman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0394A"/>
    <w:pPr>
      <w:ind w:left="708"/>
    </w:pPr>
    <w:rPr>
      <w:rFonts w:ascii="Palatino Linotype" w:eastAsia="Times New Roman" w:hAnsi="Palatino Linotype"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0394A"/>
    <w:rPr>
      <w:rFonts w:ascii="Palatino Linotype" w:eastAsia="Times New Roman" w:hAnsi="Palatino Linotype" w:cs="Times New Roman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39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394A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10394A"/>
    <w:rPr>
      <w:b/>
      <w:bCs/>
      <w:i/>
      <w:iCs/>
      <w:color w:val="4F81BD"/>
    </w:rPr>
  </w:style>
  <w:style w:type="paragraph" w:customStyle="1" w:styleId="Titoloniazzurri">
    <w:name w:val="Titoloni azzurri"/>
    <w:basedOn w:val="Normale"/>
    <w:link w:val="TitoloniazzurriCarattere"/>
    <w:qFormat/>
    <w:rsid w:val="0010394A"/>
    <w:pPr>
      <w:numPr>
        <w:numId w:val="1"/>
      </w:numPr>
      <w:spacing w:line="340" w:lineRule="exact"/>
    </w:pPr>
    <w:rPr>
      <w:rFonts w:ascii="Candara" w:hAnsi="Candara"/>
      <w:b/>
      <w:color w:val="138576"/>
      <w:sz w:val="32"/>
      <w:szCs w:val="32"/>
    </w:rPr>
  </w:style>
  <w:style w:type="character" w:customStyle="1" w:styleId="TitoloniazzurriCarattere">
    <w:name w:val="Titoloni azzurri Carattere"/>
    <w:basedOn w:val="Carpredefinitoparagrafo"/>
    <w:link w:val="Titoloniazzurri"/>
    <w:rsid w:val="0010394A"/>
    <w:rPr>
      <w:rFonts w:ascii="Candara" w:hAnsi="Candara"/>
      <w:b/>
      <w:color w:val="138576"/>
      <w:sz w:val="32"/>
      <w:szCs w:val="32"/>
      <w:lang w:eastAsia="en-US"/>
    </w:rPr>
  </w:style>
  <w:style w:type="paragraph" w:customStyle="1" w:styleId="Titolettinoteinformative">
    <w:name w:val="Titoletti note informative"/>
    <w:basedOn w:val="Paragrafoelenco"/>
    <w:uiPriority w:val="99"/>
    <w:qFormat/>
    <w:rsid w:val="0010394A"/>
    <w:pPr>
      <w:numPr>
        <w:numId w:val="2"/>
      </w:numPr>
      <w:spacing w:after="120"/>
    </w:pPr>
    <w:rPr>
      <w:rFonts w:ascii="Calibri" w:hAnsi="Calibri"/>
      <w:b/>
      <w:color w:val="138576"/>
      <w:sz w:val="28"/>
      <w:szCs w:val="28"/>
    </w:rPr>
  </w:style>
  <w:style w:type="paragraph" w:customStyle="1" w:styleId="Titolino">
    <w:name w:val="Titolino"/>
    <w:basedOn w:val="Citazioneintensa"/>
    <w:link w:val="TitolinoCarattere"/>
    <w:qFormat/>
    <w:rsid w:val="0010394A"/>
    <w:pPr>
      <w:pBdr>
        <w:bottom w:val="single" w:sz="4" w:space="4" w:color="138576"/>
      </w:pBdr>
    </w:pPr>
    <w:rPr>
      <w:color w:val="138576"/>
      <w:sz w:val="24"/>
      <w:szCs w:val="24"/>
      <w:lang w:eastAsia="en-US"/>
    </w:rPr>
  </w:style>
  <w:style w:type="character" w:customStyle="1" w:styleId="TitolinoCarattere">
    <w:name w:val="Titolino Carattere"/>
    <w:basedOn w:val="CitazioneintensaCarattere"/>
    <w:link w:val="Titolino"/>
    <w:rsid w:val="0010394A"/>
    <w:rPr>
      <w:rFonts w:ascii="Calibri" w:eastAsia="Calibri" w:hAnsi="Calibri" w:cs="Times New Roman"/>
      <w:b/>
      <w:bCs/>
      <w:i/>
      <w:iCs/>
      <w:color w:val="138576"/>
      <w:sz w:val="24"/>
      <w:szCs w:val="24"/>
      <w:lang w:eastAsia="en-US"/>
    </w:rPr>
  </w:style>
  <w:style w:type="paragraph" w:customStyle="1" w:styleId="Stile1">
    <w:name w:val="Stile1"/>
    <w:basedOn w:val="Normale"/>
    <w:link w:val="Stile1Carattere"/>
    <w:qFormat/>
    <w:rsid w:val="0010394A"/>
    <w:rPr>
      <w:rFonts w:ascii="Candara" w:hAnsi="Candara" w:cs="Iskoola Pota"/>
      <w:b/>
      <w:color w:val="C00000"/>
      <w:sz w:val="32"/>
      <w:szCs w:val="32"/>
    </w:rPr>
  </w:style>
  <w:style w:type="character" w:customStyle="1" w:styleId="Stile1Carattere">
    <w:name w:val="Stile1 Carattere"/>
    <w:basedOn w:val="Carpredefinitoparagrafo"/>
    <w:link w:val="Stile1"/>
    <w:rsid w:val="0010394A"/>
    <w:rPr>
      <w:rFonts w:ascii="Candara" w:hAnsi="Candara" w:cs="Iskoola Pota"/>
      <w:b/>
      <w:color w:val="C00000"/>
      <w:sz w:val="32"/>
      <w:szCs w:val="32"/>
      <w:lang w:eastAsia="en-US"/>
    </w:rPr>
  </w:style>
  <w:style w:type="paragraph" w:customStyle="1" w:styleId="Stile2">
    <w:name w:val="Stile2"/>
    <w:basedOn w:val="Citazioneintensa"/>
    <w:link w:val="Stile2Carattere"/>
    <w:qFormat/>
    <w:rsid w:val="0010394A"/>
    <w:pPr>
      <w:pBdr>
        <w:bottom w:val="single" w:sz="4" w:space="4" w:color="C00000"/>
      </w:pBdr>
    </w:pPr>
    <w:rPr>
      <w:color w:val="C00000"/>
      <w:sz w:val="24"/>
      <w:szCs w:val="24"/>
      <w:lang w:eastAsia="en-US"/>
    </w:rPr>
  </w:style>
  <w:style w:type="character" w:customStyle="1" w:styleId="Stile2Carattere">
    <w:name w:val="Stile2 Carattere"/>
    <w:basedOn w:val="CitazioneintensaCarattere"/>
    <w:link w:val="Stile2"/>
    <w:rsid w:val="0010394A"/>
    <w:rPr>
      <w:rFonts w:ascii="Calibri" w:eastAsia="Calibri" w:hAnsi="Calibri" w:cs="Times New Roman"/>
      <w:b/>
      <w:bCs/>
      <w:i/>
      <w:iCs/>
      <w:color w:val="C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1E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E0C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F3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00"/>
    <w:rPr>
      <w:rFonts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8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Users/pbg4/Documents/documenti/ASIG:Corrisp.Generica/carta_intestata_filier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DETRAZIONE PER ACQUISTI DI LIBRI, QUOTIDIANI E PERIODICI UNA PROPOSTA DELLA FILIERA DELLA CARTA, EDITORIA, STAMPA E TRASFORMAZIONE - 16 MARZO 2016</vt:lpstr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DETRAZIONE PER ACQUISTI DI LIBRI, QUOTIDIANI E PERIODICI UNA PROPOSTA DELLA FILIERA DELLA CARTA, EDITORIA, STAMPA E TRASFORMAZIONE - 16 MARZO 2016</dc:title>
  <dc:subject/>
  <dc:creator>Jlenia Sellitri</dc:creator>
  <cp:keywords/>
  <dc:description/>
  <cp:lastModifiedBy>Flavio Fabbri</cp:lastModifiedBy>
  <cp:revision>2</cp:revision>
  <cp:lastPrinted>2016-03-14T14:37:00Z</cp:lastPrinted>
  <dcterms:created xsi:type="dcterms:W3CDTF">2016-03-17T09:49:00Z</dcterms:created>
  <dcterms:modified xsi:type="dcterms:W3CDTF">2016-03-17T09:49:00Z</dcterms:modified>
</cp:coreProperties>
</file>