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DA" w:rsidRDefault="00E840DA">
      <w:pPr>
        <w:spacing w:before="75" w:after="75" w:line="276" w:lineRule="auto"/>
        <w:rPr>
          <w:rFonts w:ascii="Arial" w:eastAsia="Arial" w:hAnsi="Arial" w:cs="Arial"/>
          <w:b/>
        </w:rPr>
      </w:pPr>
    </w:p>
    <w:p w:rsidR="00A21519" w:rsidRDefault="00A21519">
      <w:pPr>
        <w:spacing w:before="75" w:after="75" w:line="276" w:lineRule="auto"/>
        <w:jc w:val="center"/>
        <w:rPr>
          <w:rFonts w:ascii="Arial" w:eastAsia="Arial" w:hAnsi="Arial" w:cs="Arial"/>
          <w:b/>
        </w:rPr>
      </w:pPr>
    </w:p>
    <w:p w:rsidR="00E87555" w:rsidRPr="00074658" w:rsidRDefault="0054681F" w:rsidP="00E87555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GIOTTO</w:t>
      </w:r>
      <w:r w:rsidR="00E87555">
        <w:rPr>
          <w:rFonts w:eastAsiaTheme="minorHAnsi"/>
          <w:b/>
          <w:sz w:val="28"/>
          <w:szCs w:val="28"/>
          <w:lang w:eastAsia="en-US"/>
        </w:rPr>
        <w:t xml:space="preserve"> - </w:t>
      </w:r>
      <w:r w:rsidR="00E87555" w:rsidRPr="00074658">
        <w:rPr>
          <w:rFonts w:eastAsiaTheme="minorHAnsi"/>
          <w:b/>
          <w:sz w:val="28"/>
          <w:szCs w:val="28"/>
          <w:lang w:eastAsia="en-US"/>
        </w:rPr>
        <w:t>Scheda tecnica</w:t>
      </w:r>
    </w:p>
    <w:p w:rsidR="00E87555" w:rsidRPr="008F661F" w:rsidRDefault="0054681F" w:rsidP="00E87555">
      <w:pPr>
        <w:rPr>
          <w:rFonts w:eastAsia="Georgia" w:cs="Georgia"/>
          <w:lang w:eastAsia="en-US"/>
        </w:rPr>
      </w:pPr>
      <w:r>
        <w:rPr>
          <w:rFonts w:eastAsia="Georgia" w:cs="Georgia"/>
          <w:lang w:eastAsia="en-US"/>
        </w:rPr>
        <w:t>GIOTTO</w:t>
      </w:r>
      <w:r w:rsidR="00E87555" w:rsidRPr="005E71FF">
        <w:rPr>
          <w:rFonts w:eastAsia="Georgia" w:cs="Georgia"/>
          <w:lang w:eastAsia="en-US"/>
        </w:rPr>
        <w:t xml:space="preserve"> </w:t>
      </w:r>
      <w:proofErr w:type="spellStart"/>
      <w:r w:rsidR="00E87555" w:rsidRPr="005E71FF">
        <w:rPr>
          <w:rFonts w:eastAsia="Georgia" w:cs="Georgia"/>
          <w:lang w:eastAsia="en-US"/>
        </w:rPr>
        <w:t>AlmavivA</w:t>
      </w:r>
      <w:proofErr w:type="spellEnd"/>
      <w:r w:rsidR="00E87555" w:rsidRPr="005E71FF">
        <w:rPr>
          <w:rFonts w:eastAsia="Georgia" w:cs="Georgia"/>
          <w:lang w:eastAsia="en-US"/>
        </w:rPr>
        <w:t xml:space="preserve"> Universal Platform for Enterprise è una piattaforma al 100% </w:t>
      </w:r>
      <w:proofErr w:type="spellStart"/>
      <w:r w:rsidR="00E87555" w:rsidRPr="005E71FF">
        <w:rPr>
          <w:rFonts w:eastAsia="Georgia" w:cs="Georgia"/>
          <w:lang w:eastAsia="en-US"/>
        </w:rPr>
        <w:t>cloud</w:t>
      </w:r>
      <w:proofErr w:type="spellEnd"/>
      <w:r w:rsidR="00E87555" w:rsidRPr="005E71FF">
        <w:rPr>
          <w:rFonts w:eastAsia="Georgia" w:cs="Georgia"/>
          <w:lang w:eastAsia="en-US"/>
        </w:rPr>
        <w:t xml:space="preserve"> che consente la creazione di applicazioni </w:t>
      </w:r>
      <w:proofErr w:type="spellStart"/>
      <w:r w:rsidR="00E87555" w:rsidRPr="005E71FF">
        <w:rPr>
          <w:rFonts w:eastAsia="Georgia" w:cs="Georgia"/>
          <w:lang w:eastAsia="en-US"/>
        </w:rPr>
        <w:t>IoT</w:t>
      </w:r>
      <w:proofErr w:type="spellEnd"/>
      <w:r w:rsidR="00E87555" w:rsidRPr="005E71FF">
        <w:rPr>
          <w:rFonts w:eastAsia="Georgia" w:cs="Georgia"/>
          <w:lang w:eastAsia="en-US"/>
        </w:rPr>
        <w:t xml:space="preserve"> attraverso un set di strumenti dedicati. Le applicazioni </w:t>
      </w:r>
      <w:proofErr w:type="spellStart"/>
      <w:r w:rsidR="00E87555" w:rsidRPr="005E71FF">
        <w:rPr>
          <w:rFonts w:eastAsia="Georgia" w:cs="Georgia"/>
          <w:lang w:eastAsia="en-US"/>
        </w:rPr>
        <w:t>IoT</w:t>
      </w:r>
      <w:proofErr w:type="spellEnd"/>
      <w:r w:rsidR="00E87555" w:rsidRPr="005E71FF">
        <w:rPr>
          <w:rFonts w:eastAsia="Georgia" w:cs="Georgia"/>
          <w:lang w:eastAsia="en-US"/>
        </w:rPr>
        <w:t xml:space="preserve"> create su </w:t>
      </w:r>
      <w:r>
        <w:rPr>
          <w:rFonts w:eastAsia="Georgia" w:cs="Georgia"/>
          <w:lang w:eastAsia="en-US"/>
        </w:rPr>
        <w:t>GIOTTO</w:t>
      </w:r>
      <w:r w:rsidR="00E87555" w:rsidRPr="005E71FF">
        <w:rPr>
          <w:rFonts w:eastAsia="Georgia" w:cs="Georgia"/>
          <w:lang w:eastAsia="en-US"/>
        </w:rPr>
        <w:t xml:space="preserve"> possono raccogliere, elaborare e utilizzare i dati generati dai dispositivi connessi e metterli a disposizione di utenti finali o applicazioni esterne. </w:t>
      </w:r>
      <w:r>
        <w:rPr>
          <w:rFonts w:eastAsia="Georgia" w:cs="Georgia"/>
          <w:lang w:eastAsia="en-US"/>
        </w:rPr>
        <w:t>GIOTTO</w:t>
      </w:r>
      <w:r w:rsidR="00E87555" w:rsidRPr="005E71FF">
        <w:rPr>
          <w:rFonts w:eastAsia="Georgia" w:cs="Georgia"/>
          <w:lang w:eastAsia="en-US"/>
        </w:rPr>
        <w:t xml:space="preserve"> </w:t>
      </w:r>
      <w:proofErr w:type="spellStart"/>
      <w:r w:rsidR="00E87555" w:rsidRPr="005E71FF">
        <w:rPr>
          <w:rFonts w:eastAsia="Georgia" w:cs="Georgia"/>
          <w:lang w:eastAsia="en-US"/>
        </w:rPr>
        <w:t>AlmavivA</w:t>
      </w:r>
      <w:proofErr w:type="spellEnd"/>
      <w:r w:rsidR="00E87555" w:rsidRPr="005E71FF">
        <w:rPr>
          <w:rFonts w:eastAsia="Georgia" w:cs="Georgia"/>
          <w:lang w:eastAsia="en-US"/>
        </w:rPr>
        <w:t xml:space="preserve"> Universal Platform for Enterprise si presenta come una piattaforma di back-end fruibile in modalità </w:t>
      </w:r>
      <w:proofErr w:type="spellStart"/>
      <w:r w:rsidR="00E87555" w:rsidRPr="005E71FF">
        <w:rPr>
          <w:rFonts w:eastAsia="Georgia" w:cs="Georgia"/>
          <w:lang w:eastAsia="en-US"/>
        </w:rPr>
        <w:t>As</w:t>
      </w:r>
      <w:proofErr w:type="spellEnd"/>
      <w:r w:rsidR="00E87555" w:rsidRPr="005E71FF">
        <w:rPr>
          <w:rFonts w:eastAsia="Georgia" w:cs="Georgia"/>
          <w:lang w:eastAsia="en-US"/>
        </w:rPr>
        <w:t>-A-Service, una formula che riduce la complessità di sviluppo e di gestione senza compromessi in sicurezza.</w:t>
      </w:r>
      <w:r w:rsidR="00E87555" w:rsidRPr="005E71FF">
        <w:rPr>
          <w:rFonts w:eastAsiaTheme="minorHAnsi"/>
          <w:lang w:eastAsia="en-US"/>
        </w:rPr>
        <w:br/>
      </w:r>
    </w:p>
    <w:p w:rsidR="00E87555" w:rsidRPr="00074658" w:rsidRDefault="00E87555" w:rsidP="00E87555">
      <w:pPr>
        <w:rPr>
          <w:rFonts w:eastAsia="Georgia" w:cs="Georgia"/>
          <w:lang w:eastAsia="en-US"/>
        </w:rPr>
      </w:pPr>
      <w:r w:rsidRPr="00074658">
        <w:rPr>
          <w:rFonts w:eastAsia="Georgia" w:cs="Georgia"/>
          <w:b/>
          <w:bCs/>
          <w:lang w:eastAsia="en-US"/>
        </w:rPr>
        <w:t>A</w:t>
      </w:r>
      <w:r w:rsidRPr="005E71FF">
        <w:rPr>
          <w:rFonts w:eastAsia="Georgia" w:cs="Georgia"/>
          <w:b/>
          <w:bCs/>
          <w:lang w:eastAsia="en-US"/>
        </w:rPr>
        <w:t>ffidabil</w:t>
      </w:r>
      <w:r w:rsidRPr="00074658">
        <w:rPr>
          <w:rFonts w:eastAsia="Georgia" w:cs="Georgia"/>
          <w:b/>
          <w:bCs/>
          <w:lang w:eastAsia="en-US"/>
        </w:rPr>
        <w:t>e</w:t>
      </w:r>
      <w:r w:rsidRPr="005E71FF">
        <w:rPr>
          <w:rFonts w:eastAsia="Georgia" w:cs="Georgia"/>
          <w:b/>
          <w:bCs/>
          <w:lang w:eastAsia="en-US"/>
        </w:rPr>
        <w:t xml:space="preserve"> e scalabil</w:t>
      </w:r>
      <w:r w:rsidRPr="00074658">
        <w:rPr>
          <w:rFonts w:eastAsia="Georgia" w:cs="Georgia"/>
          <w:b/>
          <w:bCs/>
          <w:lang w:eastAsia="en-US"/>
        </w:rPr>
        <w:t>e</w:t>
      </w:r>
      <w:r w:rsidRPr="005E71FF">
        <w:rPr>
          <w:rFonts w:eastAsiaTheme="minorHAnsi"/>
          <w:lang w:eastAsia="en-US"/>
        </w:rPr>
        <w:br/>
      </w:r>
      <w:r w:rsidRPr="005E71FF">
        <w:rPr>
          <w:rFonts w:eastAsia="Georgia" w:cs="Georgia"/>
          <w:lang w:eastAsia="en-US"/>
        </w:rPr>
        <w:t xml:space="preserve">Realizzato con tecnologie base di classe </w:t>
      </w:r>
      <w:proofErr w:type="spellStart"/>
      <w:r w:rsidRPr="005E71FF">
        <w:rPr>
          <w:rFonts w:eastAsia="Georgia" w:cs="Georgia"/>
          <w:lang w:eastAsia="en-US"/>
        </w:rPr>
        <w:t>enterprise</w:t>
      </w:r>
      <w:proofErr w:type="spellEnd"/>
      <w:r w:rsidRPr="005E71FF">
        <w:rPr>
          <w:rFonts w:eastAsia="Georgia" w:cs="Georgia"/>
          <w:lang w:eastAsia="en-US"/>
        </w:rPr>
        <w:t xml:space="preserve">, </w:t>
      </w:r>
      <w:r w:rsidR="0054681F">
        <w:rPr>
          <w:rFonts w:eastAsia="Georgia" w:cs="Georgia"/>
          <w:lang w:eastAsia="en-US"/>
        </w:rPr>
        <w:t>GIOTTO</w:t>
      </w:r>
      <w:r w:rsidRPr="005E71FF">
        <w:rPr>
          <w:rFonts w:eastAsia="Georgia" w:cs="Georgia"/>
          <w:lang w:eastAsia="en-US"/>
        </w:rPr>
        <w:t xml:space="preserve"> è in grado di supportare la connessione con un elevato numero di dispositivi e processare simultaneamente un</w:t>
      </w:r>
      <w:r>
        <w:rPr>
          <w:rFonts w:eastAsia="Georgia" w:cs="Georgia"/>
          <w:lang w:eastAsia="en-US"/>
        </w:rPr>
        <w:t>’</w:t>
      </w:r>
      <w:r w:rsidRPr="005E71FF">
        <w:rPr>
          <w:rFonts w:eastAsia="Georgia" w:cs="Georgia"/>
          <w:lang w:eastAsia="en-US"/>
        </w:rPr>
        <w:t>altissim</w:t>
      </w:r>
      <w:r>
        <w:rPr>
          <w:rFonts w:eastAsia="Georgia" w:cs="Georgia"/>
          <w:lang w:eastAsia="en-US"/>
        </w:rPr>
        <w:t>a</w:t>
      </w:r>
      <w:r w:rsidRPr="005E71FF">
        <w:rPr>
          <w:rFonts w:eastAsia="Georgia" w:cs="Georgia"/>
          <w:lang w:eastAsia="en-US"/>
        </w:rPr>
        <w:t xml:space="preserve"> </w:t>
      </w:r>
      <w:r>
        <w:rPr>
          <w:rFonts w:eastAsia="Georgia" w:cs="Georgia"/>
          <w:lang w:eastAsia="en-US"/>
        </w:rPr>
        <w:t>mole</w:t>
      </w:r>
      <w:r w:rsidRPr="005E71FF">
        <w:rPr>
          <w:rFonts w:eastAsia="Georgia" w:cs="Georgia"/>
          <w:lang w:eastAsia="en-US"/>
        </w:rPr>
        <w:t xml:space="preserve"> di informazioni senza rischio di </w:t>
      </w:r>
      <w:proofErr w:type="spellStart"/>
      <w:r w:rsidRPr="005E71FF">
        <w:rPr>
          <w:rFonts w:eastAsia="Georgia" w:cs="Georgia"/>
          <w:lang w:eastAsia="en-US"/>
        </w:rPr>
        <w:t>downtime</w:t>
      </w:r>
      <w:proofErr w:type="spellEnd"/>
      <w:r w:rsidRPr="005E71FF">
        <w:rPr>
          <w:rFonts w:eastAsia="Georgia" w:cs="Georgia"/>
          <w:lang w:eastAsia="en-US"/>
        </w:rPr>
        <w:t xml:space="preserve"> e di impatti sull’implementazione di partenza, nel caso di aumento di applicazioni nel tempo.</w:t>
      </w:r>
      <w:r w:rsidRPr="005E71FF">
        <w:rPr>
          <w:rFonts w:eastAsiaTheme="minorHAnsi"/>
          <w:lang w:eastAsia="en-US"/>
        </w:rPr>
        <w:br/>
      </w:r>
      <w:r w:rsidRPr="005E71FF">
        <w:rPr>
          <w:rFonts w:eastAsiaTheme="minorHAnsi"/>
          <w:lang w:eastAsia="en-US"/>
        </w:rPr>
        <w:br/>
      </w:r>
      <w:r w:rsidRPr="00074658">
        <w:rPr>
          <w:rFonts w:eastAsia="Georgia" w:cs="Georgia"/>
          <w:b/>
          <w:bCs/>
          <w:lang w:eastAsia="en-US"/>
        </w:rPr>
        <w:t>F</w:t>
      </w:r>
      <w:r w:rsidRPr="005E71FF">
        <w:rPr>
          <w:rFonts w:eastAsia="Georgia" w:cs="Georgia"/>
          <w:b/>
          <w:bCs/>
          <w:lang w:eastAsia="en-US"/>
        </w:rPr>
        <w:t>lessibil</w:t>
      </w:r>
      <w:r w:rsidRPr="00074658">
        <w:rPr>
          <w:rFonts w:eastAsia="Georgia" w:cs="Georgia"/>
          <w:b/>
          <w:bCs/>
          <w:lang w:eastAsia="en-US"/>
        </w:rPr>
        <w:t>e</w:t>
      </w:r>
      <w:r w:rsidRPr="005E71FF">
        <w:rPr>
          <w:rFonts w:eastAsia="Georgia" w:cs="Georgia"/>
          <w:b/>
          <w:bCs/>
          <w:lang w:eastAsia="en-US"/>
        </w:rPr>
        <w:t xml:space="preserve"> </w:t>
      </w:r>
      <w:r w:rsidRPr="005E71FF">
        <w:rPr>
          <w:rFonts w:eastAsiaTheme="minorHAnsi"/>
          <w:lang w:eastAsia="en-US"/>
        </w:rPr>
        <w:br/>
      </w:r>
      <w:r w:rsidRPr="005E71FF">
        <w:rPr>
          <w:rFonts w:eastAsia="Georgia" w:cs="Georgia"/>
          <w:lang w:eastAsia="en-US"/>
        </w:rPr>
        <w:t xml:space="preserve">La piattaforma </w:t>
      </w:r>
      <w:r w:rsidR="0054681F">
        <w:rPr>
          <w:rFonts w:eastAsia="Georgia" w:cs="Georgia"/>
          <w:lang w:eastAsia="en-US"/>
        </w:rPr>
        <w:t>GIOTTO</w:t>
      </w:r>
      <w:r w:rsidRPr="005E71FF">
        <w:rPr>
          <w:rFonts w:eastAsia="Georgia" w:cs="Georgia"/>
          <w:lang w:eastAsia="en-US"/>
        </w:rPr>
        <w:t xml:space="preserve">, proposta in modalità back-end </w:t>
      </w:r>
      <w:proofErr w:type="spellStart"/>
      <w:r w:rsidRPr="005E71FF">
        <w:rPr>
          <w:rFonts w:eastAsia="Georgia" w:cs="Georgia"/>
          <w:lang w:eastAsia="en-US"/>
        </w:rPr>
        <w:t>As</w:t>
      </w:r>
      <w:proofErr w:type="spellEnd"/>
      <w:r w:rsidRPr="005E71FF">
        <w:rPr>
          <w:rFonts w:eastAsia="Georgia" w:cs="Georgia"/>
          <w:lang w:eastAsia="en-US"/>
        </w:rPr>
        <w:t xml:space="preserve">-A-Service e ospitata nel </w:t>
      </w:r>
      <w:proofErr w:type="spellStart"/>
      <w:r w:rsidRPr="005E71FF">
        <w:rPr>
          <w:rFonts w:eastAsia="Georgia" w:cs="Georgia"/>
          <w:lang w:eastAsia="en-US"/>
        </w:rPr>
        <w:t>Cloud</w:t>
      </w:r>
      <w:proofErr w:type="spellEnd"/>
      <w:r w:rsidRPr="005E71FF">
        <w:rPr>
          <w:rFonts w:eastAsia="Georgia" w:cs="Georgia"/>
          <w:lang w:eastAsia="en-US"/>
        </w:rPr>
        <w:t xml:space="preserve"> </w:t>
      </w:r>
      <w:proofErr w:type="spellStart"/>
      <w:r w:rsidRPr="005E71FF">
        <w:rPr>
          <w:rFonts w:eastAsia="Georgia" w:cs="Georgia"/>
          <w:lang w:eastAsia="en-US"/>
        </w:rPr>
        <w:t>AlmavivA</w:t>
      </w:r>
      <w:proofErr w:type="spellEnd"/>
      <w:r w:rsidRPr="005E71FF">
        <w:rPr>
          <w:rFonts w:eastAsia="Georgia" w:cs="Georgia"/>
          <w:lang w:eastAsia="en-US"/>
        </w:rPr>
        <w:t xml:space="preserve">, è stata tuttavia progettata con le stesse funzionalità per un utilizzo su ambienti di </w:t>
      </w:r>
      <w:proofErr w:type="spellStart"/>
      <w:r w:rsidRPr="005E71FF">
        <w:rPr>
          <w:rFonts w:eastAsia="Georgia" w:cs="Georgia"/>
          <w:lang w:eastAsia="en-US"/>
        </w:rPr>
        <w:t>cloud</w:t>
      </w:r>
      <w:proofErr w:type="spellEnd"/>
      <w:r w:rsidRPr="005E71FF">
        <w:rPr>
          <w:rFonts w:eastAsia="Georgia" w:cs="Georgia"/>
          <w:lang w:eastAsia="en-US"/>
        </w:rPr>
        <w:t xml:space="preserve"> pubblico come Microsoft </w:t>
      </w:r>
      <w:proofErr w:type="spellStart"/>
      <w:r w:rsidRPr="005E71FF">
        <w:rPr>
          <w:rFonts w:eastAsia="Georgia" w:cs="Georgia"/>
          <w:lang w:eastAsia="en-US"/>
        </w:rPr>
        <w:t>Azure</w:t>
      </w:r>
      <w:proofErr w:type="spellEnd"/>
      <w:r w:rsidRPr="005E71FF">
        <w:rPr>
          <w:rFonts w:eastAsia="Georgia" w:cs="Georgia"/>
          <w:lang w:eastAsia="en-US"/>
        </w:rPr>
        <w:t xml:space="preserve"> oppure in modalità on-</w:t>
      </w:r>
      <w:proofErr w:type="spellStart"/>
      <w:r w:rsidRPr="005E71FF">
        <w:rPr>
          <w:rFonts w:eastAsia="Georgia" w:cs="Georgia"/>
          <w:lang w:eastAsia="en-US"/>
        </w:rPr>
        <w:t>premises</w:t>
      </w:r>
      <w:proofErr w:type="spellEnd"/>
      <w:r w:rsidRPr="005E71FF">
        <w:rPr>
          <w:rFonts w:eastAsia="Georgia" w:cs="Georgia"/>
          <w:lang w:eastAsia="en-US"/>
        </w:rPr>
        <w:t xml:space="preserve">, da installare per esempio sul Data Center aziendale per garantire la massima riservatezza dei dati. La natura stessa della piattaforma e l’uso di </w:t>
      </w:r>
      <w:proofErr w:type="spellStart"/>
      <w:r w:rsidRPr="005E71FF">
        <w:rPr>
          <w:rFonts w:eastAsia="Georgia" w:cs="Georgia"/>
          <w:lang w:eastAsia="en-US"/>
        </w:rPr>
        <w:t>Intercloud</w:t>
      </w:r>
      <w:proofErr w:type="spellEnd"/>
      <w:r w:rsidRPr="005E71FF">
        <w:rPr>
          <w:rFonts w:eastAsia="Georgia" w:cs="Georgia"/>
          <w:lang w:eastAsia="en-US"/>
        </w:rPr>
        <w:t xml:space="preserve"> </w:t>
      </w:r>
      <w:proofErr w:type="spellStart"/>
      <w:r w:rsidRPr="005E71FF">
        <w:rPr>
          <w:rFonts w:eastAsia="Georgia" w:cs="Georgia"/>
          <w:lang w:eastAsia="en-US"/>
        </w:rPr>
        <w:t>Fabric</w:t>
      </w:r>
      <w:proofErr w:type="spellEnd"/>
      <w:r w:rsidRPr="005E71FF">
        <w:rPr>
          <w:rFonts w:eastAsia="Georgia" w:cs="Georgia"/>
          <w:lang w:eastAsia="en-US"/>
        </w:rPr>
        <w:t xml:space="preserve"> di Cisco consentiranno inoltre il funzionamento in modalità ibrida delle risorse localizzate in </w:t>
      </w:r>
      <w:proofErr w:type="spellStart"/>
      <w:r w:rsidRPr="005E71FF">
        <w:rPr>
          <w:rFonts w:eastAsia="Georgia" w:cs="Georgia"/>
          <w:lang w:eastAsia="en-US"/>
        </w:rPr>
        <w:t>cloud</w:t>
      </w:r>
      <w:proofErr w:type="spellEnd"/>
      <w:r w:rsidRPr="005E71FF">
        <w:rPr>
          <w:rFonts w:eastAsia="Georgia" w:cs="Georgia"/>
          <w:lang w:eastAsia="en-US"/>
        </w:rPr>
        <w:t xml:space="preserve"> e on-</w:t>
      </w:r>
      <w:proofErr w:type="spellStart"/>
      <w:r w:rsidRPr="005E71FF">
        <w:rPr>
          <w:rFonts w:eastAsia="Georgia" w:cs="Georgia"/>
          <w:lang w:eastAsia="en-US"/>
        </w:rPr>
        <w:t>premises</w:t>
      </w:r>
      <w:proofErr w:type="spellEnd"/>
      <w:r w:rsidRPr="005E71FF">
        <w:rPr>
          <w:rFonts w:eastAsia="Georgia" w:cs="Georgia"/>
          <w:lang w:eastAsia="en-US"/>
        </w:rPr>
        <w:t xml:space="preserve"> contemporaneamente.</w:t>
      </w:r>
      <w:r w:rsidRPr="005E71FF">
        <w:rPr>
          <w:rFonts w:eastAsiaTheme="minorHAnsi"/>
          <w:lang w:eastAsia="en-US"/>
        </w:rPr>
        <w:br/>
      </w:r>
      <w:r w:rsidRPr="005E71FF">
        <w:rPr>
          <w:rFonts w:eastAsiaTheme="minorHAnsi"/>
          <w:lang w:eastAsia="en-US"/>
        </w:rPr>
        <w:br/>
      </w:r>
      <w:r w:rsidRPr="00074658">
        <w:rPr>
          <w:rFonts w:eastAsia="Georgia" w:cs="Georgia"/>
          <w:b/>
          <w:bCs/>
          <w:lang w:eastAsia="en-US"/>
        </w:rPr>
        <w:t>Intuitiva ed efficiente</w:t>
      </w:r>
      <w:r w:rsidRPr="005E71FF">
        <w:rPr>
          <w:rFonts w:eastAsiaTheme="minorHAnsi"/>
          <w:lang w:eastAsia="en-US"/>
        </w:rPr>
        <w:br/>
      </w:r>
      <w:r w:rsidRPr="005E71FF">
        <w:rPr>
          <w:rFonts w:eastAsia="Georgia" w:cs="Georgia"/>
          <w:lang w:eastAsia="en-US"/>
        </w:rPr>
        <w:t xml:space="preserve">La formula Back end </w:t>
      </w:r>
      <w:proofErr w:type="spellStart"/>
      <w:r w:rsidRPr="005E71FF">
        <w:rPr>
          <w:rFonts w:eastAsia="Georgia" w:cs="Georgia"/>
          <w:lang w:eastAsia="en-US"/>
        </w:rPr>
        <w:t>As</w:t>
      </w:r>
      <w:proofErr w:type="spellEnd"/>
      <w:r w:rsidRPr="005E71FF">
        <w:rPr>
          <w:rFonts w:eastAsia="Georgia" w:cs="Georgia"/>
          <w:lang w:eastAsia="en-US"/>
        </w:rPr>
        <w:t>-A-Service semplifica l’integrazione con dispositivi e sensori di differenti produttori, fornendo un set di servizi e strumenti per agevolare lo sviluppo di applicazioni e ridurre il Time-To-Market.</w:t>
      </w:r>
    </w:p>
    <w:p w:rsidR="00E87555" w:rsidRPr="005E71FF" w:rsidRDefault="00E87555" w:rsidP="00E87555">
      <w:pPr>
        <w:rPr>
          <w:rFonts w:eastAsiaTheme="minorHAnsi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87555" w:rsidRPr="005E71FF" w:rsidTr="00397B8A">
        <w:tc>
          <w:tcPr>
            <w:tcW w:w="3209" w:type="dxa"/>
          </w:tcPr>
          <w:p w:rsidR="00E87555" w:rsidRPr="005E71FF" w:rsidRDefault="00E87555" w:rsidP="00397B8A">
            <w:proofErr w:type="spellStart"/>
            <w:r w:rsidRPr="005E71FF">
              <w:rPr>
                <w:b/>
              </w:rPr>
              <w:t>BaaS</w:t>
            </w:r>
            <w:proofErr w:type="spellEnd"/>
            <w:r w:rsidRPr="005E71FF">
              <w:rPr>
                <w:b/>
              </w:rPr>
              <w:t xml:space="preserve">: </w:t>
            </w:r>
            <w:r w:rsidRPr="005E71FF">
              <w:rPr>
                <w:b/>
              </w:rPr>
              <w:br/>
              <w:t xml:space="preserve">Back-end </w:t>
            </w:r>
            <w:proofErr w:type="spellStart"/>
            <w:r w:rsidRPr="005E71FF">
              <w:rPr>
                <w:b/>
              </w:rPr>
              <w:t>As</w:t>
            </w:r>
            <w:proofErr w:type="spellEnd"/>
            <w:r w:rsidRPr="005E71FF">
              <w:rPr>
                <w:b/>
              </w:rPr>
              <w:t>-A-Service</w:t>
            </w:r>
            <w:r w:rsidRPr="005E71FF">
              <w:rPr>
                <w:b/>
              </w:rPr>
              <w:br/>
            </w:r>
            <w:r w:rsidRPr="005E71FF">
              <w:br/>
              <w:t xml:space="preserve">Tutti i vantaggi di </w:t>
            </w:r>
            <w:proofErr w:type="spellStart"/>
            <w:r w:rsidRPr="005E71FF">
              <w:t>IaaS</w:t>
            </w:r>
            <w:proofErr w:type="spellEnd"/>
            <w:r w:rsidRPr="005E71FF">
              <w:t xml:space="preserve">, </w:t>
            </w:r>
            <w:proofErr w:type="spellStart"/>
            <w:r w:rsidRPr="005E71FF">
              <w:t>PaaS</w:t>
            </w:r>
            <w:proofErr w:type="spellEnd"/>
            <w:r w:rsidRPr="005E71FF">
              <w:t xml:space="preserve"> e </w:t>
            </w:r>
            <w:proofErr w:type="spellStart"/>
            <w:r w:rsidRPr="005E71FF">
              <w:t>SaaS</w:t>
            </w:r>
            <w:proofErr w:type="spellEnd"/>
            <w:r w:rsidRPr="005E71FF">
              <w:t xml:space="preserve"> elevati a potenza</w:t>
            </w:r>
          </w:p>
        </w:tc>
        <w:tc>
          <w:tcPr>
            <w:tcW w:w="3209" w:type="dxa"/>
          </w:tcPr>
          <w:p w:rsidR="00E87555" w:rsidRPr="005E71FF" w:rsidRDefault="00E87555" w:rsidP="00397B8A">
            <w:r w:rsidRPr="005E71FF">
              <w:rPr>
                <w:b/>
              </w:rPr>
              <w:t xml:space="preserve">Full </w:t>
            </w:r>
            <w:proofErr w:type="spellStart"/>
            <w:r w:rsidRPr="005E71FF">
              <w:rPr>
                <w:b/>
              </w:rPr>
              <w:t>OpenSource</w:t>
            </w:r>
            <w:proofErr w:type="spellEnd"/>
            <w:r w:rsidRPr="005E71FF">
              <w:rPr>
                <w:b/>
              </w:rPr>
              <w:br/>
            </w:r>
            <w:r w:rsidRPr="005E71FF">
              <w:br/>
              <w:t>Tecnologia standard altamente flessibile</w:t>
            </w:r>
          </w:p>
        </w:tc>
        <w:tc>
          <w:tcPr>
            <w:tcW w:w="3210" w:type="dxa"/>
          </w:tcPr>
          <w:p w:rsidR="00E87555" w:rsidRPr="005E71FF" w:rsidRDefault="00E87555" w:rsidP="00397B8A">
            <w:r w:rsidRPr="005E71FF">
              <w:rPr>
                <w:b/>
              </w:rPr>
              <w:t xml:space="preserve">Device Hardware </w:t>
            </w:r>
            <w:proofErr w:type="spellStart"/>
            <w:r w:rsidRPr="005E71FF">
              <w:rPr>
                <w:b/>
              </w:rPr>
              <w:t>agnostic</w:t>
            </w:r>
            <w:proofErr w:type="spellEnd"/>
            <w:r w:rsidRPr="005E71FF">
              <w:rPr>
                <w:b/>
              </w:rPr>
              <w:br/>
            </w:r>
            <w:r w:rsidRPr="005E71FF">
              <w:br/>
              <w:t xml:space="preserve">Supporto per ogni tipologia di dispositivo in ambito </w:t>
            </w:r>
            <w:proofErr w:type="spellStart"/>
            <w:r w:rsidRPr="005E71FF">
              <w:t>IoE</w:t>
            </w:r>
            <w:proofErr w:type="spellEnd"/>
          </w:p>
        </w:tc>
      </w:tr>
    </w:tbl>
    <w:p w:rsidR="00E87555" w:rsidRPr="005E71FF" w:rsidRDefault="00E87555" w:rsidP="00E87555">
      <w:pPr>
        <w:rPr>
          <w:rFonts w:eastAsiaTheme="minorHAnsi"/>
          <w:lang w:eastAsia="en-US"/>
        </w:rPr>
      </w:pPr>
    </w:p>
    <w:p w:rsidR="00E87555" w:rsidRDefault="00E87555" w:rsidP="00E87555">
      <w:pPr>
        <w:rPr>
          <w:rFonts w:eastAsia="Georgia" w:cs="Georgia"/>
          <w:b/>
          <w:bCs/>
          <w:lang w:eastAsia="en-US"/>
        </w:rPr>
      </w:pPr>
      <w:r w:rsidRPr="005E71FF">
        <w:rPr>
          <w:rFonts w:eastAsiaTheme="minorHAnsi"/>
          <w:lang w:eastAsia="en-US"/>
        </w:rPr>
        <w:br/>
      </w:r>
    </w:p>
    <w:p w:rsidR="00E87555" w:rsidRDefault="00E87555" w:rsidP="00E87555">
      <w:pPr>
        <w:rPr>
          <w:rFonts w:eastAsia="Georgia" w:cs="Georgia"/>
          <w:b/>
          <w:bCs/>
          <w:lang w:eastAsia="en-US"/>
        </w:rPr>
      </w:pPr>
    </w:p>
    <w:p w:rsidR="00E87555" w:rsidRDefault="00E87555" w:rsidP="00E87555">
      <w:pPr>
        <w:rPr>
          <w:rFonts w:eastAsia="Georgia" w:cs="Georgia"/>
          <w:b/>
          <w:bCs/>
          <w:lang w:eastAsia="en-US"/>
        </w:rPr>
      </w:pPr>
    </w:p>
    <w:p w:rsidR="00E87555" w:rsidRDefault="00E87555" w:rsidP="00E87555">
      <w:pPr>
        <w:rPr>
          <w:rFonts w:eastAsia="Georgia" w:cs="Georgia"/>
          <w:b/>
          <w:bCs/>
          <w:lang w:eastAsia="en-US"/>
        </w:rPr>
      </w:pPr>
    </w:p>
    <w:p w:rsidR="00E87555" w:rsidRPr="005E71FF" w:rsidRDefault="00E87555" w:rsidP="00E87555">
      <w:pPr>
        <w:rPr>
          <w:rFonts w:eastAsiaTheme="minorHAnsi"/>
          <w:lang w:eastAsia="en-US"/>
        </w:rPr>
      </w:pPr>
      <w:r>
        <w:rPr>
          <w:rFonts w:eastAsia="Georgia" w:cs="Georgia"/>
          <w:b/>
          <w:bCs/>
          <w:lang w:eastAsia="en-US"/>
        </w:rPr>
        <w:t xml:space="preserve">Le componenti di </w:t>
      </w:r>
      <w:r w:rsidR="0054681F">
        <w:rPr>
          <w:rFonts w:eastAsia="Georgia" w:cs="Georgia"/>
          <w:b/>
          <w:bCs/>
          <w:lang w:eastAsia="en-US"/>
        </w:rPr>
        <w:t>GIOTTO</w:t>
      </w:r>
      <w:r w:rsidRPr="005E71FF">
        <w:rPr>
          <w:rFonts w:eastAsiaTheme="minorHAnsi"/>
          <w:lang w:eastAsia="en-US"/>
        </w:rPr>
        <w:br/>
      </w:r>
      <w:proofErr w:type="spellStart"/>
      <w:r w:rsidR="0054681F">
        <w:rPr>
          <w:rFonts w:eastAsia="Georgia" w:cs="Georgia"/>
          <w:lang w:eastAsia="en-US"/>
        </w:rPr>
        <w:t>GIOTTO</w:t>
      </w:r>
      <w:proofErr w:type="spellEnd"/>
      <w:r w:rsidRPr="005E71FF">
        <w:rPr>
          <w:rFonts w:eastAsia="Georgia" w:cs="Georgia"/>
          <w:lang w:eastAsia="en-US"/>
        </w:rPr>
        <w:t xml:space="preserve"> </w:t>
      </w:r>
      <w:proofErr w:type="spellStart"/>
      <w:r w:rsidRPr="005E71FF">
        <w:rPr>
          <w:rFonts w:eastAsia="Georgia" w:cs="Georgia"/>
          <w:lang w:eastAsia="en-US"/>
        </w:rPr>
        <w:t>AlmavivA</w:t>
      </w:r>
      <w:proofErr w:type="spellEnd"/>
      <w:r w:rsidRPr="005E71FF">
        <w:rPr>
          <w:rFonts w:eastAsia="Georgia" w:cs="Georgia"/>
          <w:lang w:eastAsia="en-US"/>
        </w:rPr>
        <w:t xml:space="preserve"> Universal Platform for Enterprise è progettato su infrastruttura tecnologica Cisco e consente l’integrazione con una vastissima gamma di dispositivi e sensori attraverso i protocolli HTTP, MQTT, con l’uso di uno </w:t>
      </w:r>
      <w:proofErr w:type="spellStart"/>
      <w:r w:rsidRPr="005E71FF">
        <w:rPr>
          <w:rFonts w:eastAsia="Georgia" w:cs="Georgia"/>
          <w:lang w:eastAsia="en-US"/>
        </w:rPr>
        <w:t>smart</w:t>
      </w:r>
      <w:proofErr w:type="spellEnd"/>
      <w:r w:rsidRPr="005E71FF">
        <w:rPr>
          <w:rFonts w:eastAsia="Georgia" w:cs="Georgia"/>
          <w:lang w:eastAsia="en-US"/>
        </w:rPr>
        <w:t xml:space="preserve"> gateway e grazie a uno strato di </w:t>
      </w:r>
      <w:proofErr w:type="spellStart"/>
      <w:r w:rsidRPr="005E71FF">
        <w:rPr>
          <w:rFonts w:eastAsia="Georgia" w:cs="Georgia"/>
          <w:lang w:eastAsia="en-US"/>
        </w:rPr>
        <w:t>Mediation</w:t>
      </w:r>
      <w:proofErr w:type="spellEnd"/>
      <w:r w:rsidRPr="005E71FF">
        <w:rPr>
          <w:rFonts w:eastAsia="Georgia" w:cs="Georgia"/>
          <w:lang w:eastAsia="en-US"/>
        </w:rPr>
        <w:t xml:space="preserve"> </w:t>
      </w:r>
      <w:proofErr w:type="spellStart"/>
      <w:r w:rsidRPr="005E71FF">
        <w:rPr>
          <w:rFonts w:eastAsia="Georgia" w:cs="Georgia"/>
          <w:lang w:eastAsia="en-US"/>
        </w:rPr>
        <w:t>Layer</w:t>
      </w:r>
      <w:proofErr w:type="spellEnd"/>
      <w:r w:rsidRPr="005E71FF">
        <w:rPr>
          <w:rFonts w:eastAsia="Georgia" w:cs="Georgia"/>
          <w:lang w:eastAsia="en-US"/>
        </w:rPr>
        <w:t xml:space="preserve"> basato sulla tecnologia Cisco </w:t>
      </w:r>
      <w:proofErr w:type="spellStart"/>
      <w:r w:rsidRPr="005E71FF">
        <w:rPr>
          <w:rFonts w:eastAsia="Georgia" w:cs="Georgia"/>
          <w:lang w:eastAsia="en-US"/>
        </w:rPr>
        <w:t>Fog</w:t>
      </w:r>
      <w:proofErr w:type="spellEnd"/>
      <w:r w:rsidRPr="005E71FF">
        <w:rPr>
          <w:rFonts w:eastAsia="Georgia" w:cs="Georgia"/>
          <w:lang w:eastAsia="en-US"/>
        </w:rPr>
        <w:t xml:space="preserve"> Computing.</w:t>
      </w:r>
      <w:r w:rsidRPr="005E71FF">
        <w:rPr>
          <w:rFonts w:eastAsiaTheme="minorHAnsi"/>
          <w:lang w:eastAsia="en-US"/>
        </w:rPr>
        <w:br/>
      </w:r>
      <w:r w:rsidRPr="005E71FF">
        <w:rPr>
          <w:rFonts w:eastAsiaTheme="minorHAnsi"/>
          <w:lang w:eastAsia="en-US"/>
        </w:rPr>
        <w:br/>
      </w:r>
      <w:r w:rsidRPr="005E71FF">
        <w:rPr>
          <w:rFonts w:eastAsia="Georgia" w:cs="Georgia"/>
          <w:lang w:eastAsia="en-US"/>
        </w:rPr>
        <w:t>Il cuore della piattaforma comprende:</w:t>
      </w:r>
    </w:p>
    <w:p w:rsidR="00E87555" w:rsidRPr="005E71FF" w:rsidRDefault="00E87555" w:rsidP="00E87555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r w:rsidRPr="005E71FF">
        <w:rPr>
          <w:rFonts w:eastAsiaTheme="minorHAnsi"/>
          <w:lang w:eastAsia="en-US"/>
        </w:rPr>
        <w:t xml:space="preserve">Un sistema di Identity &amp; Access Management per l’autenticazione e la </w:t>
      </w:r>
      <w:proofErr w:type="spellStart"/>
      <w:r w:rsidRPr="005E71FF">
        <w:rPr>
          <w:rFonts w:eastAsiaTheme="minorHAnsi"/>
          <w:lang w:eastAsia="en-US"/>
        </w:rPr>
        <w:t>profilazione</w:t>
      </w:r>
      <w:proofErr w:type="spellEnd"/>
      <w:r w:rsidRPr="005E71FF">
        <w:rPr>
          <w:rFonts w:eastAsiaTheme="minorHAnsi"/>
          <w:lang w:eastAsia="en-US"/>
        </w:rPr>
        <w:t xml:space="preserve"> degli utenti</w:t>
      </w:r>
      <w:r>
        <w:rPr>
          <w:rFonts w:eastAsiaTheme="minorHAnsi"/>
          <w:lang w:eastAsia="en-US"/>
        </w:rPr>
        <w:t xml:space="preserve"> e dei dispositivi</w:t>
      </w:r>
      <w:r w:rsidRPr="005E71FF">
        <w:rPr>
          <w:rFonts w:eastAsiaTheme="minorHAnsi"/>
          <w:lang w:eastAsia="en-US"/>
        </w:rPr>
        <w:t xml:space="preserve"> in grado di garantire elevati livelli di sicurezza anche nel caso di accesso da applicazioni esterne</w:t>
      </w:r>
      <w:r>
        <w:rPr>
          <w:rFonts w:eastAsiaTheme="minorHAnsi"/>
          <w:lang w:eastAsia="en-US"/>
        </w:rPr>
        <w:t>.</w:t>
      </w:r>
    </w:p>
    <w:p w:rsidR="00E87555" w:rsidRPr="005E71FF" w:rsidRDefault="00E87555" w:rsidP="00E87555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r w:rsidRPr="005E71FF">
        <w:rPr>
          <w:rFonts w:eastAsiaTheme="minorHAnsi"/>
          <w:lang w:eastAsia="en-US"/>
        </w:rPr>
        <w:t>Un canale di comunicazione formato da un Enterprise Service Bus (ESB) e un Message Broker per la gestione delle integrazioni con i dispositivi e dell’accesso ai servizi e alle applicazioni. Lo stesso Enterprise Service Bus permette in</w:t>
      </w:r>
      <w:r>
        <w:rPr>
          <w:rFonts w:eastAsiaTheme="minorHAnsi"/>
          <w:lang w:eastAsia="en-US"/>
        </w:rPr>
        <w:t>o</w:t>
      </w:r>
      <w:r w:rsidRPr="005E71FF">
        <w:rPr>
          <w:rFonts w:eastAsiaTheme="minorHAnsi"/>
          <w:lang w:eastAsia="en-US"/>
        </w:rPr>
        <w:t xml:space="preserve">ltre la creazione di connettori verso applicazioni </w:t>
      </w:r>
      <w:proofErr w:type="spellStart"/>
      <w:r w:rsidRPr="005E71FF">
        <w:rPr>
          <w:rFonts w:eastAsiaTheme="minorHAnsi"/>
          <w:lang w:eastAsia="en-US"/>
        </w:rPr>
        <w:t>SaaS</w:t>
      </w:r>
      <w:proofErr w:type="spellEnd"/>
      <w:r w:rsidRPr="005E71FF">
        <w:rPr>
          <w:rFonts w:eastAsiaTheme="minorHAnsi"/>
          <w:lang w:eastAsia="en-US"/>
        </w:rPr>
        <w:t xml:space="preserve"> esterne come </w:t>
      </w:r>
      <w:proofErr w:type="spellStart"/>
      <w:r w:rsidRPr="005E71FF">
        <w:rPr>
          <w:rFonts w:eastAsiaTheme="minorHAnsi"/>
          <w:lang w:eastAsia="en-US"/>
        </w:rPr>
        <w:t>Twitter</w:t>
      </w:r>
      <w:proofErr w:type="spellEnd"/>
      <w:r w:rsidRPr="005E71FF">
        <w:rPr>
          <w:rFonts w:eastAsiaTheme="minorHAnsi"/>
          <w:lang w:eastAsia="en-US"/>
        </w:rPr>
        <w:t xml:space="preserve">, </w:t>
      </w:r>
      <w:proofErr w:type="spellStart"/>
      <w:r w:rsidRPr="005E71FF">
        <w:rPr>
          <w:rFonts w:eastAsiaTheme="minorHAnsi"/>
          <w:lang w:eastAsia="en-US"/>
        </w:rPr>
        <w:t>Facebook</w:t>
      </w:r>
      <w:proofErr w:type="spellEnd"/>
      <w:r w:rsidRPr="005E71FF">
        <w:rPr>
          <w:rFonts w:eastAsiaTheme="minorHAnsi"/>
          <w:lang w:eastAsia="en-US"/>
        </w:rPr>
        <w:t xml:space="preserve">, SAP, </w:t>
      </w:r>
      <w:proofErr w:type="spellStart"/>
      <w:r w:rsidRPr="005E71FF">
        <w:rPr>
          <w:rFonts w:eastAsiaTheme="minorHAnsi"/>
          <w:lang w:eastAsia="en-US"/>
        </w:rPr>
        <w:t>Twilio</w:t>
      </w:r>
      <w:proofErr w:type="spellEnd"/>
      <w:r w:rsidRPr="005E71FF">
        <w:rPr>
          <w:rFonts w:eastAsiaTheme="minorHAnsi"/>
          <w:lang w:eastAsia="en-US"/>
        </w:rPr>
        <w:t xml:space="preserve"> e molte altre. </w:t>
      </w:r>
    </w:p>
    <w:p w:rsidR="00E87555" w:rsidRPr="005E71FF" w:rsidRDefault="00E87555" w:rsidP="00E87555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r w:rsidRPr="005E71FF">
        <w:rPr>
          <w:rFonts w:eastAsiaTheme="minorHAnsi"/>
          <w:lang w:eastAsia="en-US"/>
        </w:rPr>
        <w:t xml:space="preserve">Funzionalità di </w:t>
      </w:r>
      <w:proofErr w:type="spellStart"/>
      <w:r w:rsidRPr="005E71FF">
        <w:rPr>
          <w:rFonts w:eastAsiaTheme="minorHAnsi"/>
          <w:lang w:eastAsia="en-US"/>
        </w:rPr>
        <w:t>Complex</w:t>
      </w:r>
      <w:proofErr w:type="spellEnd"/>
      <w:r w:rsidRPr="005E71FF">
        <w:rPr>
          <w:rFonts w:eastAsiaTheme="minorHAnsi"/>
          <w:lang w:eastAsia="en-US"/>
        </w:rPr>
        <w:t xml:space="preserve"> </w:t>
      </w:r>
      <w:proofErr w:type="spellStart"/>
      <w:r w:rsidRPr="005E71FF">
        <w:rPr>
          <w:rFonts w:eastAsiaTheme="minorHAnsi"/>
          <w:lang w:eastAsia="en-US"/>
        </w:rPr>
        <w:t>Event</w:t>
      </w:r>
      <w:proofErr w:type="spellEnd"/>
      <w:r w:rsidRPr="005E71FF">
        <w:rPr>
          <w:rFonts w:eastAsiaTheme="minorHAnsi"/>
          <w:lang w:eastAsia="en-US"/>
        </w:rPr>
        <w:t xml:space="preserve"> Processing (CEP) e Analytics che garantiscono l’automazione per comunicazioni M2M e l’analisi dei dati provenienti da e diretti verso dispositivi e applicazioni anche esterne alla piattaforma. Gli sviluppatori possono definire le regole di elaborazione attraverso un’interfaccia grafica e definire con la massima semplicità la Business </w:t>
      </w:r>
      <w:proofErr w:type="spellStart"/>
      <w:r w:rsidRPr="005E71FF">
        <w:rPr>
          <w:rFonts w:eastAsiaTheme="minorHAnsi"/>
          <w:lang w:eastAsia="en-US"/>
        </w:rPr>
        <w:t>Logic</w:t>
      </w:r>
      <w:proofErr w:type="spellEnd"/>
      <w:r w:rsidRPr="005E71FF">
        <w:rPr>
          <w:rFonts w:eastAsiaTheme="minorHAnsi"/>
          <w:lang w:eastAsia="en-US"/>
        </w:rPr>
        <w:t xml:space="preserve"> delle applicazioni da sviluppare</w:t>
      </w:r>
    </w:p>
    <w:p w:rsidR="00E87555" w:rsidRPr="005E71FF" w:rsidRDefault="00E87555" w:rsidP="00E87555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r w:rsidRPr="005E71FF">
        <w:rPr>
          <w:rFonts w:eastAsiaTheme="minorHAnsi"/>
          <w:lang w:eastAsia="en-US"/>
        </w:rPr>
        <w:t>Strumenti di Device Management per la creazione degli elenchi di dispositivi e per la loro gestione e configurazione diretta attraverso la piattaforma, anche da remoto</w:t>
      </w:r>
    </w:p>
    <w:p w:rsidR="00E87555" w:rsidRPr="005E71FF" w:rsidRDefault="00E87555" w:rsidP="00E87555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proofErr w:type="spellStart"/>
      <w:r w:rsidRPr="005E71FF">
        <w:rPr>
          <w:rFonts w:eastAsiaTheme="minorHAnsi"/>
          <w:lang w:eastAsia="en-US"/>
        </w:rPr>
        <w:t>External</w:t>
      </w:r>
      <w:proofErr w:type="spellEnd"/>
      <w:r w:rsidRPr="005E71FF">
        <w:rPr>
          <w:rFonts w:eastAsiaTheme="minorHAnsi"/>
          <w:lang w:eastAsia="en-US"/>
        </w:rPr>
        <w:t xml:space="preserve"> API per l’integrazione con altri provider di servizi e di soluzioni </w:t>
      </w:r>
      <w:proofErr w:type="spellStart"/>
      <w:r w:rsidRPr="005E71FF">
        <w:rPr>
          <w:rFonts w:eastAsiaTheme="minorHAnsi"/>
          <w:lang w:eastAsia="en-US"/>
        </w:rPr>
        <w:t>cloud</w:t>
      </w:r>
      <w:proofErr w:type="spellEnd"/>
      <w:r w:rsidRPr="005E71FF">
        <w:rPr>
          <w:rFonts w:eastAsiaTheme="minorHAnsi"/>
          <w:lang w:eastAsia="en-US"/>
        </w:rPr>
        <w:t xml:space="preserve">, come Microsoft, </w:t>
      </w:r>
      <w:proofErr w:type="spellStart"/>
      <w:r w:rsidRPr="005E71FF">
        <w:rPr>
          <w:rFonts w:eastAsiaTheme="minorHAnsi"/>
          <w:lang w:eastAsia="en-US"/>
        </w:rPr>
        <w:t>Facebook</w:t>
      </w:r>
      <w:proofErr w:type="spellEnd"/>
      <w:r w:rsidRPr="005E71FF">
        <w:rPr>
          <w:rFonts w:eastAsiaTheme="minorHAnsi"/>
          <w:lang w:eastAsia="en-US"/>
        </w:rPr>
        <w:t xml:space="preserve"> e molte altre</w:t>
      </w:r>
    </w:p>
    <w:p w:rsidR="00E87555" w:rsidRPr="005E71FF" w:rsidRDefault="00E87555" w:rsidP="00E87555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r w:rsidRPr="005E71FF">
        <w:rPr>
          <w:rFonts w:eastAsiaTheme="minorHAnsi"/>
          <w:lang w:eastAsia="en-US"/>
        </w:rPr>
        <w:t xml:space="preserve">Un </w:t>
      </w:r>
      <w:proofErr w:type="spellStart"/>
      <w:r w:rsidRPr="005E71FF">
        <w:rPr>
          <w:rFonts w:eastAsiaTheme="minorHAnsi"/>
          <w:lang w:eastAsia="en-US"/>
        </w:rPr>
        <w:t>repository</w:t>
      </w:r>
      <w:proofErr w:type="spellEnd"/>
      <w:r w:rsidRPr="005E71FF">
        <w:rPr>
          <w:rFonts w:eastAsiaTheme="minorHAnsi"/>
          <w:lang w:eastAsia="en-US"/>
        </w:rPr>
        <w:t xml:space="preserve"> Big</w:t>
      </w:r>
      <w:r w:rsidR="005C2BAB">
        <w:rPr>
          <w:rFonts w:eastAsiaTheme="minorHAnsi"/>
          <w:lang w:eastAsia="en-US"/>
        </w:rPr>
        <w:t xml:space="preserve"> </w:t>
      </w:r>
      <w:bookmarkStart w:id="0" w:name="_GoBack"/>
      <w:bookmarkEnd w:id="0"/>
      <w:r w:rsidRPr="005E71FF">
        <w:rPr>
          <w:rFonts w:eastAsiaTheme="minorHAnsi"/>
          <w:lang w:eastAsia="en-US"/>
        </w:rPr>
        <w:t xml:space="preserve">Data basato sulle migliori tecnologie </w:t>
      </w:r>
      <w:r>
        <w:rPr>
          <w:rFonts w:eastAsiaTheme="minorHAnsi"/>
          <w:lang w:eastAsia="en-US"/>
        </w:rPr>
        <w:t xml:space="preserve">open source </w:t>
      </w:r>
      <w:r w:rsidRPr="005E71FF">
        <w:rPr>
          <w:rFonts w:eastAsiaTheme="minorHAnsi"/>
          <w:lang w:eastAsia="en-US"/>
        </w:rPr>
        <w:t xml:space="preserve">disponibili sul mercato – come </w:t>
      </w:r>
      <w:proofErr w:type="spellStart"/>
      <w:r w:rsidRPr="005E71FF">
        <w:rPr>
          <w:rFonts w:eastAsiaTheme="minorHAnsi"/>
          <w:lang w:eastAsia="en-US"/>
        </w:rPr>
        <w:t>Hadoop</w:t>
      </w:r>
      <w:proofErr w:type="spellEnd"/>
      <w:r w:rsidRPr="005E71FF">
        <w:rPr>
          <w:rFonts w:eastAsiaTheme="minorHAnsi"/>
          <w:lang w:eastAsia="en-US"/>
        </w:rPr>
        <w:t xml:space="preserve"> e </w:t>
      </w:r>
      <w:proofErr w:type="spellStart"/>
      <w:r w:rsidRPr="005E71FF">
        <w:rPr>
          <w:rFonts w:eastAsiaTheme="minorHAnsi"/>
          <w:lang w:eastAsia="en-US"/>
        </w:rPr>
        <w:t>hBase</w:t>
      </w:r>
      <w:proofErr w:type="spellEnd"/>
      <w:r w:rsidRPr="005E71FF">
        <w:rPr>
          <w:rFonts w:eastAsiaTheme="minorHAnsi"/>
          <w:lang w:eastAsia="en-US"/>
        </w:rPr>
        <w:t xml:space="preserve"> - per archiviare e avere sempre a disposizione tutti i dati provenienti dai dispositivi e dalle applicazioni esterne </w:t>
      </w:r>
    </w:p>
    <w:p w:rsidR="00E87555" w:rsidRPr="005E71FF" w:rsidRDefault="00E87555" w:rsidP="00E87555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r w:rsidRPr="005E71FF">
        <w:rPr>
          <w:rFonts w:eastAsiaTheme="minorHAnsi"/>
          <w:lang w:eastAsia="en-US"/>
        </w:rPr>
        <w:t xml:space="preserve">Una console di analisi, sia real-time che batch, che attraverso il </w:t>
      </w:r>
      <w:proofErr w:type="spellStart"/>
      <w:r w:rsidRPr="005E71FF">
        <w:rPr>
          <w:rFonts w:eastAsiaTheme="minorHAnsi"/>
          <w:lang w:eastAsia="en-US"/>
        </w:rPr>
        <w:t>framework</w:t>
      </w:r>
      <w:proofErr w:type="spellEnd"/>
      <w:r w:rsidRPr="005E71FF">
        <w:rPr>
          <w:rFonts w:eastAsiaTheme="minorHAnsi"/>
          <w:lang w:eastAsia="en-US"/>
        </w:rPr>
        <w:t xml:space="preserve"> SPARK permette di ottenere il massimo da tutte le informazioni raccolte dai dispositivi attraverso la visualizzazione delle elaborazioni dei dati su </w:t>
      </w:r>
      <w:proofErr w:type="spellStart"/>
      <w:r w:rsidRPr="005E71FF">
        <w:rPr>
          <w:rFonts w:eastAsiaTheme="minorHAnsi"/>
          <w:lang w:eastAsia="en-US"/>
        </w:rPr>
        <w:t>dashboard</w:t>
      </w:r>
      <w:proofErr w:type="spellEnd"/>
      <w:r w:rsidRPr="005E71FF">
        <w:rPr>
          <w:rFonts w:eastAsiaTheme="minorHAnsi"/>
          <w:lang w:eastAsia="en-US"/>
        </w:rPr>
        <w:t>, oppure il loro riutilizzo come input per applicazioni esterne e ulteriori dispositivi o per API gestite dagli sviluppatori</w:t>
      </w:r>
    </w:p>
    <w:p w:rsidR="00E87555" w:rsidRPr="005E71FF" w:rsidRDefault="00E87555" w:rsidP="00E87555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r w:rsidRPr="005E71FF">
        <w:rPr>
          <w:rFonts w:eastAsiaTheme="minorHAnsi"/>
          <w:lang w:eastAsia="en-US"/>
        </w:rPr>
        <w:t xml:space="preserve">Un Market </w:t>
      </w:r>
      <w:proofErr w:type="spellStart"/>
      <w:r w:rsidRPr="005E71FF">
        <w:rPr>
          <w:rFonts w:eastAsiaTheme="minorHAnsi"/>
          <w:lang w:eastAsia="en-US"/>
        </w:rPr>
        <w:t>Place</w:t>
      </w:r>
      <w:proofErr w:type="spellEnd"/>
      <w:r w:rsidRPr="005E71FF">
        <w:rPr>
          <w:rFonts w:eastAsiaTheme="minorHAnsi"/>
          <w:lang w:eastAsia="en-US"/>
        </w:rPr>
        <w:t xml:space="preserve"> attraverso il quale vengono messi a disposizione degli sviluppatori strumenti (Api Manager), applicazioni e API -proprietarie e di terze parti - che permettono di sviluppare prodotti e servizi. </w:t>
      </w:r>
    </w:p>
    <w:p w:rsidR="00E87555" w:rsidRDefault="00E87555" w:rsidP="00E87555">
      <w:pPr>
        <w:rPr>
          <w:rFonts w:eastAsiaTheme="minorHAnsi"/>
          <w:lang w:eastAsia="en-US"/>
        </w:rPr>
      </w:pPr>
      <w:r w:rsidRPr="005E71FF">
        <w:rPr>
          <w:rFonts w:eastAsiaTheme="minorHAnsi"/>
          <w:lang w:eastAsia="en-US"/>
        </w:rPr>
        <w:br/>
      </w:r>
      <w:r w:rsidRPr="005E71FF">
        <w:rPr>
          <w:rFonts w:eastAsia="Georgia" w:cs="Georgia"/>
          <w:lang w:eastAsia="en-US"/>
        </w:rPr>
        <w:t xml:space="preserve">L’uso di </w:t>
      </w:r>
      <w:r w:rsidR="0054681F">
        <w:rPr>
          <w:rFonts w:eastAsia="Georgia" w:cs="Georgia"/>
          <w:lang w:eastAsia="en-US"/>
        </w:rPr>
        <w:t>GIOTTO</w:t>
      </w:r>
      <w:r w:rsidRPr="005E71FF">
        <w:rPr>
          <w:rFonts w:eastAsia="Georgia" w:cs="Georgia"/>
          <w:lang w:eastAsia="en-US"/>
        </w:rPr>
        <w:t xml:space="preserve"> </w:t>
      </w:r>
      <w:proofErr w:type="spellStart"/>
      <w:r w:rsidRPr="005E71FF">
        <w:rPr>
          <w:rFonts w:eastAsia="Georgia" w:cs="Georgia"/>
          <w:lang w:eastAsia="en-US"/>
        </w:rPr>
        <w:t>AlmavivA</w:t>
      </w:r>
      <w:proofErr w:type="spellEnd"/>
      <w:r w:rsidRPr="005E71FF">
        <w:rPr>
          <w:rFonts w:eastAsia="Georgia" w:cs="Georgia"/>
          <w:lang w:eastAsia="en-US"/>
        </w:rPr>
        <w:t xml:space="preserve"> Universal Platform for Enterprise permette agli sviluppatori di concentrarsi sulla componente front-end applicativa senza preoccuparsi di implementare e gestire tutta la parte di infrastruttura e di back-end.</w:t>
      </w:r>
      <w:r w:rsidRPr="00074658" w:rsidDel="000478F3">
        <w:rPr>
          <w:rFonts w:eastAsia="Georgia" w:cs="Georgia"/>
          <w:lang w:eastAsia="en-US"/>
        </w:rPr>
        <w:t xml:space="preserve"> </w:t>
      </w:r>
    </w:p>
    <w:p w:rsidR="00E87555" w:rsidRPr="00731D78" w:rsidRDefault="00E87555" w:rsidP="00E87555">
      <w:pPr>
        <w:rPr>
          <w:rFonts w:eastAsia="Arial" w:cs="Arial"/>
          <w:color w:val="000000"/>
        </w:rPr>
      </w:pPr>
    </w:p>
    <w:sectPr w:rsidR="00E87555" w:rsidRPr="00731D78" w:rsidSect="00DC77C2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ED" w:rsidRDefault="00321DED" w:rsidP="007D714C">
      <w:pPr>
        <w:spacing w:after="0" w:line="240" w:lineRule="auto"/>
      </w:pPr>
      <w:r>
        <w:separator/>
      </w:r>
    </w:p>
  </w:endnote>
  <w:endnote w:type="continuationSeparator" w:id="0">
    <w:p w:rsidR="00321DED" w:rsidRDefault="00321DED" w:rsidP="007D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519" w:rsidRDefault="00DC77C2" w:rsidP="00A21519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>
          <wp:extent cx="1247775" cy="233958"/>
          <wp:effectExtent l="0" t="0" r="0" b="0"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lmavivAPNGsfondotra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031" cy="25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br/>
    </w:r>
    <w:r w:rsidR="007F12F5">
      <w:rPr>
        <w:rFonts w:ascii="Arial" w:hAnsi="Arial" w:cs="Arial"/>
        <w:sz w:val="18"/>
        <w:szCs w:val="18"/>
      </w:rPr>
      <w:br/>
    </w:r>
    <w:r w:rsidR="00A21519">
      <w:rPr>
        <w:rFonts w:ascii="Arial" w:hAnsi="Arial" w:cs="Arial"/>
        <w:sz w:val="18"/>
        <w:szCs w:val="18"/>
      </w:rPr>
      <w:t xml:space="preserve">Contatti Gruppo </w:t>
    </w:r>
    <w:proofErr w:type="spellStart"/>
    <w:r w:rsidR="00A21519">
      <w:rPr>
        <w:rFonts w:ascii="Arial" w:hAnsi="Arial" w:cs="Arial"/>
        <w:sz w:val="18"/>
        <w:szCs w:val="18"/>
      </w:rPr>
      <w:t>AlmavivA</w:t>
    </w:r>
    <w:proofErr w:type="spellEnd"/>
    <w:r w:rsidR="00A21519">
      <w:rPr>
        <w:rFonts w:ascii="Arial" w:hAnsi="Arial" w:cs="Arial"/>
        <w:sz w:val="18"/>
        <w:szCs w:val="18"/>
      </w:rPr>
      <w:t xml:space="preserve">: </w:t>
    </w:r>
  </w:p>
  <w:p w:rsidR="00A21519" w:rsidRDefault="00A21519" w:rsidP="00A21519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Ilaria De Bernardis</w:t>
    </w:r>
    <w:r>
      <w:rPr>
        <w:rFonts w:ascii="Arial" w:hAnsi="Arial" w:cs="Arial"/>
        <w:sz w:val="18"/>
        <w:szCs w:val="18"/>
      </w:rPr>
      <w:t xml:space="preserve">, Responsabile Media Relations, tel. 06.3993.4142, </w:t>
    </w:r>
    <w:proofErr w:type="spellStart"/>
    <w:r>
      <w:rPr>
        <w:rFonts w:ascii="Arial" w:hAnsi="Arial" w:cs="Arial"/>
        <w:sz w:val="18"/>
        <w:szCs w:val="18"/>
      </w:rPr>
      <w:t>mob</w:t>
    </w:r>
    <w:proofErr w:type="spellEnd"/>
    <w:r>
      <w:rPr>
        <w:rFonts w:ascii="Arial" w:hAnsi="Arial" w:cs="Arial"/>
        <w:sz w:val="18"/>
        <w:szCs w:val="18"/>
      </w:rPr>
      <w:t xml:space="preserve">. 342.9849109, </w:t>
    </w:r>
    <w:hyperlink r:id="rId2" w:history="1">
      <w:r>
        <w:rPr>
          <w:rStyle w:val="Collegamentoipertestuale"/>
          <w:rFonts w:ascii="Arial" w:hAnsi="Arial" w:cs="Arial"/>
          <w:sz w:val="18"/>
          <w:szCs w:val="18"/>
        </w:rPr>
        <w:t>i.debernardis@almaviva.it</w:t>
      </w:r>
    </w:hyperlink>
  </w:p>
  <w:p w:rsidR="00A21519" w:rsidRDefault="00A21519" w:rsidP="00A21519">
    <w:pPr>
      <w:pStyle w:val="Pidipagina"/>
      <w:rPr>
        <w:rStyle w:val="Collegamentoipertestuale"/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Mariagrazia Scaringella</w:t>
    </w:r>
    <w:r>
      <w:rPr>
        <w:rFonts w:ascii="Arial" w:hAnsi="Arial" w:cs="Arial"/>
        <w:sz w:val="18"/>
        <w:szCs w:val="18"/>
      </w:rPr>
      <w:t xml:space="preserve">, Media Relations, tel. 06.3993.3566, </w:t>
    </w:r>
    <w:proofErr w:type="spellStart"/>
    <w:r>
      <w:rPr>
        <w:rFonts w:ascii="Arial" w:hAnsi="Arial" w:cs="Arial"/>
        <w:sz w:val="18"/>
        <w:szCs w:val="18"/>
      </w:rPr>
      <w:t>mob</w:t>
    </w:r>
    <w:proofErr w:type="spellEnd"/>
    <w:r>
      <w:rPr>
        <w:rFonts w:ascii="Arial" w:hAnsi="Arial" w:cs="Arial"/>
        <w:sz w:val="18"/>
        <w:szCs w:val="18"/>
      </w:rPr>
      <w:t xml:space="preserve">. 340.8455510, </w:t>
    </w:r>
    <w:hyperlink r:id="rId3" w:history="1">
      <w:r>
        <w:rPr>
          <w:rStyle w:val="Collegamentoipertestuale"/>
          <w:rFonts w:ascii="Arial" w:hAnsi="Arial" w:cs="Arial"/>
          <w:sz w:val="18"/>
          <w:szCs w:val="18"/>
        </w:rPr>
        <w:t>m.scaringella@almaviva.it</w:t>
      </w:r>
    </w:hyperlink>
  </w:p>
  <w:p w:rsidR="00DC77C2" w:rsidRDefault="00DC77C2" w:rsidP="00A21519">
    <w:pPr>
      <w:pStyle w:val="Pidipagina"/>
      <w:rPr>
        <w:rStyle w:val="Collegamentoipertestuale"/>
        <w:rFonts w:ascii="Arial" w:hAnsi="Arial" w:cs="Arial"/>
        <w:sz w:val="18"/>
        <w:szCs w:val="18"/>
      </w:rPr>
    </w:pPr>
  </w:p>
  <w:p w:rsidR="00DC77C2" w:rsidRPr="00DC77C2" w:rsidRDefault="00DC77C2" w:rsidP="00A21519">
    <w:pPr>
      <w:pStyle w:val="Pidipagina"/>
      <w:rPr>
        <w:rFonts w:ascii="Arial" w:hAnsi="Arial" w:cs="Arial"/>
        <w:sz w:val="18"/>
        <w:szCs w:val="18"/>
      </w:rPr>
    </w:pPr>
    <w:r w:rsidRPr="00DC77C2">
      <w:rPr>
        <w:rStyle w:val="Collegamentoipertestuale"/>
        <w:rFonts w:ascii="Arial" w:hAnsi="Arial" w:cs="Arial"/>
        <w:sz w:val="18"/>
        <w:szCs w:val="18"/>
        <w:u w:val="none"/>
      </w:rPr>
      <w:t xml:space="preserve">                                                                                                                                                                      www.almaviva.it</w:t>
    </w:r>
  </w:p>
  <w:p w:rsidR="00A21519" w:rsidRDefault="00A2151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ED" w:rsidRDefault="00321DED" w:rsidP="007D714C">
      <w:pPr>
        <w:spacing w:after="0" w:line="240" w:lineRule="auto"/>
      </w:pPr>
      <w:r>
        <w:separator/>
      </w:r>
    </w:p>
  </w:footnote>
  <w:footnote w:type="continuationSeparator" w:id="0">
    <w:p w:rsidR="00321DED" w:rsidRDefault="00321DED" w:rsidP="007D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14C" w:rsidRDefault="00DA04FD" w:rsidP="007D714C">
    <w:pPr>
      <w:pStyle w:val="Intestazione"/>
      <w:jc w:val="center"/>
    </w:pPr>
    <w:r>
      <w:rPr>
        <w:noProof/>
      </w:rPr>
      <w:drawing>
        <wp:inline distT="0" distB="0" distL="0" distR="0">
          <wp:extent cx="2235788" cy="1292245"/>
          <wp:effectExtent l="0" t="0" r="0" b="3175"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iot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788" cy="1292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B3984"/>
    <w:multiLevelType w:val="hybridMultilevel"/>
    <w:tmpl w:val="94DE78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DA"/>
    <w:rsid w:val="00015575"/>
    <w:rsid w:val="000B3260"/>
    <w:rsid w:val="000E5BA9"/>
    <w:rsid w:val="001A3E25"/>
    <w:rsid w:val="001D3214"/>
    <w:rsid w:val="001D4579"/>
    <w:rsid w:val="00201E87"/>
    <w:rsid w:val="0020571F"/>
    <w:rsid w:val="002205AC"/>
    <w:rsid w:val="002B3F51"/>
    <w:rsid w:val="00321DED"/>
    <w:rsid w:val="0035117F"/>
    <w:rsid w:val="00353494"/>
    <w:rsid w:val="0040136A"/>
    <w:rsid w:val="004160EE"/>
    <w:rsid w:val="00443036"/>
    <w:rsid w:val="004B42C4"/>
    <w:rsid w:val="004D57AC"/>
    <w:rsid w:val="004F2B0F"/>
    <w:rsid w:val="00500C69"/>
    <w:rsid w:val="00521078"/>
    <w:rsid w:val="0054681F"/>
    <w:rsid w:val="00546ED8"/>
    <w:rsid w:val="00560F43"/>
    <w:rsid w:val="005B7289"/>
    <w:rsid w:val="005C2BAB"/>
    <w:rsid w:val="006C6F9E"/>
    <w:rsid w:val="00760B3A"/>
    <w:rsid w:val="007D714C"/>
    <w:rsid w:val="007F12F5"/>
    <w:rsid w:val="007F6E34"/>
    <w:rsid w:val="00807345"/>
    <w:rsid w:val="008A1CB9"/>
    <w:rsid w:val="008B5AF6"/>
    <w:rsid w:val="0094117C"/>
    <w:rsid w:val="00961EF2"/>
    <w:rsid w:val="009B2D41"/>
    <w:rsid w:val="00A21519"/>
    <w:rsid w:val="00A96C04"/>
    <w:rsid w:val="00B70DB9"/>
    <w:rsid w:val="00C12C85"/>
    <w:rsid w:val="00C147EF"/>
    <w:rsid w:val="00C32892"/>
    <w:rsid w:val="00CD4C8F"/>
    <w:rsid w:val="00CF4472"/>
    <w:rsid w:val="00D82D55"/>
    <w:rsid w:val="00DA04FD"/>
    <w:rsid w:val="00DC77C2"/>
    <w:rsid w:val="00DD56A4"/>
    <w:rsid w:val="00DE050C"/>
    <w:rsid w:val="00E174D6"/>
    <w:rsid w:val="00E840DA"/>
    <w:rsid w:val="00E87555"/>
    <w:rsid w:val="00F129FD"/>
    <w:rsid w:val="00F573AE"/>
    <w:rsid w:val="00FD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57102F-9DCE-4155-931A-D4A9CF06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2D4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D71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14C"/>
  </w:style>
  <w:style w:type="paragraph" w:styleId="Pidipagina">
    <w:name w:val="footer"/>
    <w:basedOn w:val="Normale"/>
    <w:link w:val="PidipaginaCarattere"/>
    <w:uiPriority w:val="99"/>
    <w:unhideWhenUsed/>
    <w:rsid w:val="007D71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1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714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7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DC77C2"/>
  </w:style>
  <w:style w:type="table" w:styleId="Grigliatabella">
    <w:name w:val="Table Grid"/>
    <w:basedOn w:val="Tabellanormale"/>
    <w:uiPriority w:val="39"/>
    <w:rsid w:val="00E875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.scaringella@almaviva.it" TargetMode="External"/><Relationship Id="rId2" Type="http://schemas.openxmlformats.org/officeDocument/2006/relationships/hyperlink" Target="mailto:i.debernardis@almaviv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Bernardis Ilaria Paola</dc:creator>
  <cp:lastModifiedBy>De Bernardis Ilaria</cp:lastModifiedBy>
  <cp:revision>5</cp:revision>
  <dcterms:created xsi:type="dcterms:W3CDTF">2015-11-16T16:57:00Z</dcterms:created>
  <dcterms:modified xsi:type="dcterms:W3CDTF">2015-11-18T11:09:00Z</dcterms:modified>
</cp:coreProperties>
</file>